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7.png" ContentType="image/png"/>
  <Override PartName="/word/media/rId104.png" ContentType="image/png"/>
  <Override PartName="/word/media/rId70.png" ContentType="image/png"/>
  <Override PartName="/word/media/rId79.png" ContentType="image/png"/>
  <Override PartName="/word/media/rId110.png" ContentType="image/png"/>
  <Override PartName="/word/media/rId92.png" ContentType="image/png"/>
  <Override PartName="/word/media/rId143.png" ContentType="image/png"/>
  <Override PartName="/word/media/rId140.png" ContentType="image/png"/>
  <Override PartName="/word/media/rId86.png" ContentType="image/png"/>
  <Override PartName="/word/media/rId114.png" ContentType="image/png"/>
  <Override PartName="/word/media/rId134.png" ContentType="image/png"/>
  <Override PartName="/word/media/rId137.png" ContentType="image/png"/>
  <Override PartName="/word/media/rId76.png" ContentType="image/png"/>
  <Override PartName="/word/media/rId98.png" ContentType="image/png"/>
  <Override PartName="/word/media/rId101.png" ContentType="image/png"/>
  <Override PartName="/word/media/rId89.png" ContentType="image/png"/>
  <Override PartName="/word/media/rId124.png" ContentType="image/png"/>
  <Override PartName="/word/media/rId117.png" ContentType="image/png"/>
  <Override PartName="/word/media/rId95.png" ContentType="image/png"/>
  <Override PartName="/word/media/rId64.png" ContentType="image/png"/>
  <Override PartName="/word/media/rId73.png" ContentType="image/png"/>
  <Override PartName="/word/media/rId130.png" ContentType="image/png"/>
  <Override PartName="/word/media/rId127.png" ContentType="image/png"/>
  <Override PartName="/word/media/rId107.png" ContentType="image/png"/>
  <Override PartName="/word/media/rId120.png" ContentType="image/png"/>
  <Override PartName="/word/media/rId82.png" ContentType="image/png"/>
  <Override PartName="/word/media/rId29.png" ContentType="image/png"/>
  <Override PartName="/word/media/rId33.png" ContentType="image/png"/>
  <Override PartName="/word/media/rId37.png" ContentType="image/png"/>
  <Override PartName="/word/media/rId40.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22.png" ContentType="image/png"/>
  <Override PartName="/word/media/rId25.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entralizadoenegrito"/>
      </w:pPr>
      <w:r>
        <w:t xml:space="preserve">INFORME INFODENGUE</w:t>
      </w:r>
    </w:p>
    <w:p>
      <w:pPr>
        <w:pStyle w:val="Centralizadoenegrito"/>
      </w:pPr>
      <w:r>
        <w:t xml:space="preserve">Informe da situação das arboviroses urbanas no Brasil</w:t>
      </w:r>
    </w:p>
    <w:p>
      <w:pPr>
        <w:pStyle w:val="Centralizadoenegrito"/>
      </w:pPr>
      <w:r>
        <w:t xml:space="preserve">(Semana epidemiológica 22)</w:t>
      </w:r>
    </w:p>
    <w:p>
      <w:pPr>
        <w:pStyle w:val="Centralizadoenegrito"/>
      </w:pPr>
      <w:r>
        <w:rPr>
          <w:i/>
          <w:iCs/>
        </w:rPr>
        <w:t xml:space="preserve">Análises com base nos dados inseridos no SINAN ONLINE até o dia 30/05/2025.</w:t>
      </w:r>
    </w:p>
    <w:p>
      <w:pPr>
        <w:pStyle w:val="Centralizadoenegrito"/>
      </w:pPr>
      <w:r>
        <w:rPr>
          <w:b/>
          <w:bCs/>
        </w:rPr>
        <w:t xml:space="preserve">AVISOS:</w:t>
      </w:r>
    </w:p>
    <w:p>
      <w:pPr>
        <w:pStyle w:val="Normal"/>
      </w:pPr>
      <w:r>
        <w:t xml:space="preserve">Esse boletim analisa as condições de transmissão da chikungunya e dengue no Brasil utilizando dados de clima e notificação de casos fornecidos pela Secretaria de Vigilância em Saúde (SVS). A partir desses dados são analisadas as condições de receptividade climática, transmissão e incidência (ver definição), tendo como objetivo contribuir para a tomada de decisão na sala de situação.</w:t>
      </w:r>
    </w:p>
    <w:p>
      <w:pPr>
        <w:pStyle w:val="Normal"/>
      </w:pPr>
      <w:r>
        <w:t xml:space="preserve">Todas as análises do InfoDengue são baseadas nos casos notificados, sem excluir os casos descartados. Isso ocorre devido à grande heterogeneidade no descarte de casos e porque a análise visa ser oportuna, não sendo viável esperar pelo tempo necessário para os testes laboratoriais. Portanto, utiliza-se um sistema de nowcasting para a predição de dados.</w:t>
      </w:r>
    </w:p>
    <w:p>
      <w:pPr>
        <w:pStyle w:val="Normal"/>
      </w:pPr>
      <w:r>
        <w:t xml:space="preserve">Os dados provenientes dos sistemas de notificação de casos podem conter erros de digitação ou preenchimento, afetando um ou mais dos diversos campos de registro. Por isso, as notificações são constantemente avaliadas para correções necessárias, conforme a análise da rede de vigilância e das equipes locais responsáveis por cada registro.</w:t>
      </w:r>
    </w:p>
    <w:p>
      <w:pPr>
        <w:pStyle w:val="Centralizadoenegrito"/>
      </w:pPr>
      <w:r>
        <w:rPr>
          <w:b/>
          <w:bCs/>
        </w:rPr>
        <w:t xml:space="preserve">CRÉDITOS:</w:t>
      </w:r>
    </w:p>
    <w:p>
      <w:pPr>
        <w:pStyle w:val="Corpodetexto"/>
      </w:pPr>
      <w:r>
        <w:rPr>
          <w:b/>
          <w:bCs/>
        </w:rPr>
        <w:t xml:space="preserve">Produção:</w:t>
      </w:r>
      <w:r>
        <w:t xml:space="preserve"> </w:t>
      </w:r>
      <w:r>
        <w:t xml:space="preserve">Equipe Infodengue.</w:t>
      </w:r>
    </w:p>
    <w:p>
      <w:pPr>
        <w:pStyle w:val="Corpodetexto"/>
      </w:pPr>
      <w:r>
        <w:rPr>
          <w:b/>
          <w:bCs/>
        </w:rPr>
        <w:t xml:space="preserve">Como citar:</w:t>
      </w:r>
      <w:r>
        <w:t xml:space="preserve"> </w:t>
      </w:r>
      <w:r>
        <w:t xml:space="preserve">Infodengue. (Semana epidemiológica 22), PROCC/Fiocruz e EMap/FGV, 2025.</w:t>
      </w:r>
    </w:p>
    <w:p>
      <w:r>
        <w:br w:type="page"/>
      </w:r>
    </w:p>
    <w:bookmarkStart w:id="20" w:name="principais-pontos-em-destaque"/>
    <w:p>
      <w:pPr>
        <w:pStyle w:val="Ttulo3"/>
      </w:pPr>
      <w:r>
        <w:rPr>
          <w:b/>
          <w:bCs/>
        </w:rPr>
        <w:t xml:space="preserve">PRINCIPAIS PONTOS EM DESTAQUE</w:t>
      </w:r>
    </w:p>
    <w:p>
      <w:pPr>
        <w:pStyle w:val="Compact"/>
        <w:numPr>
          <w:ilvl w:val="0"/>
          <w:numId w:val="1001"/>
        </w:numPr>
      </w:pPr>
      <w:r>
        <w:t xml:space="preserve">A notificação de dengue no país cresce com um número reprodutivo de 0.89 [ 0.88 0.89 ]. Se esse crescimento se mantiver até as semanas 13 a 15 (pico típico no país), podemos esperar entre 3,5 e 4,8 milhões de casos de dengue nessa temporada (semana 41 de 2024 a semana 40 de 2025). Esse número pode mudar em função de eventos que acelerem ou reduzam a transmissão. Em relação à chikungunya, com número reprodutivo de 1.05 [ 1.02 1.08 ], calcula-se entre 120 e 350 mil casos na temporada;</w:t>
      </w:r>
    </w:p>
    <w:p>
      <w:pPr>
        <w:pStyle w:val="Compact"/>
        <w:numPr>
          <w:ilvl w:val="0"/>
          <w:numId w:val="1001"/>
        </w:numPr>
      </w:pPr>
      <w:r>
        <w:t xml:space="preserve">Item 2;</w:t>
      </w:r>
    </w:p>
    <w:p>
      <w:pPr>
        <w:pStyle w:val="Compact"/>
        <w:numPr>
          <w:ilvl w:val="0"/>
          <w:numId w:val="1001"/>
        </w:numPr>
      </w:pPr>
      <w:r>
        <w:t xml:space="preserve">Item 3.</w:t>
      </w:r>
    </w:p>
    <w:bookmarkEnd w:id="20"/>
    <w:bookmarkStart w:id="21" w:name="situação-das-arboviroses-no-brasil"/>
    <w:p>
      <w:pPr>
        <w:pStyle w:val="Ttulo3"/>
      </w:pPr>
      <w:r>
        <w:rPr>
          <w:b/>
          <w:bCs/>
        </w:rPr>
        <w:t xml:space="preserve">Situação das Arboviroses no Brasil</w:t>
      </w:r>
    </w:p>
    <w:p>
      <w:pPr>
        <w:pStyle w:val="Normal"/>
      </w:pPr>
      <w:r>
        <w:t xml:space="preserve">Esse ano foram notificados até o momento,</w:t>
      </w:r>
      <w:r>
        <w:t xml:space="preserve"> </w:t>
      </w:r>
      <w:r>
        <w:rPr>
          <w:b/>
          <w:bCs/>
        </w:rPr>
        <w:t xml:space="preserve">2.927.837</w:t>
      </w:r>
      <w:r>
        <w:t xml:space="preserve"> </w:t>
      </w:r>
      <w:r>
        <w:t xml:space="preserve">casos suspeitos de dengue e chikungunya, o que corresponde a uma incidência acumulada de</w:t>
      </w:r>
      <w:r>
        <w:t xml:space="preserve"> </w:t>
      </w:r>
      <w:r>
        <w:rPr>
          <w:b/>
          <w:bCs/>
        </w:rPr>
        <w:t xml:space="preserve">1.332</w:t>
      </w:r>
      <w:r>
        <w:t xml:space="preserve"> </w:t>
      </w:r>
      <w:r>
        <w:t xml:space="preserve">casos de dengue e</w:t>
      </w:r>
      <w:r>
        <w:t xml:space="preserve"> </w:t>
      </w:r>
      <w:r>
        <w:rPr>
          <w:b/>
          <w:bCs/>
        </w:rPr>
        <w:t xml:space="preserve">78</w:t>
      </w:r>
      <w:r>
        <w:t xml:space="preserve"> </w:t>
      </w:r>
      <w:r>
        <w:t xml:space="preserve">casos de chikungunya por 100 mil habitantes.</w:t>
      </w:r>
    </w:p>
    <w:p>
      <w:pPr>
        <w:pStyle w:val="Normal"/>
      </w:pPr>
      <w:r>
        <w:t xml:space="preserve">Para dengue, esse valor corresponde a</w:t>
      </w:r>
      <w:r>
        <w:t xml:space="preserve"> </w:t>
      </w:r>
      <w:r>
        <w:rPr>
          <w:b/>
          <w:bCs/>
        </w:rPr>
        <w:t xml:space="preserve">0,31</w:t>
      </w:r>
      <w:r>
        <w:t xml:space="preserve"> </w:t>
      </w:r>
      <w:r>
        <w:t xml:space="preserve">vezes o registrado no ano passado, enquanto para chikungunya, a</w:t>
      </w:r>
      <w:r>
        <w:t xml:space="preserve"> </w:t>
      </w:r>
      <w:r>
        <w:rPr>
          <w:b/>
          <w:bCs/>
        </w:rPr>
        <w:t xml:space="preserve">0,45</w:t>
      </w:r>
      <w:r>
        <w:t xml:space="preserve">.</w:t>
      </w:r>
    </w:p>
    <w:p>
      <w:pPr>
        <w:pStyle w:val="Normal"/>
      </w:pPr>
      <w:r>
        <w:t xml:space="preserve">Do total de casos notificados,</w:t>
      </w:r>
      <w:r>
        <w:t xml:space="preserve"> </w:t>
      </w:r>
      <w:r>
        <w:rPr>
          <w:b/>
          <w:bCs/>
        </w:rPr>
        <w:t xml:space="preserve">1.597.605</w:t>
      </w:r>
      <w:r>
        <w:t xml:space="preserve"> </w:t>
      </w:r>
      <w:r>
        <w:t xml:space="preserve">foram classificados como prováveis até o momento. Isso é,</w:t>
      </w:r>
      <w:r>
        <w:t xml:space="preserve"> </w:t>
      </w:r>
      <w:r>
        <w:rPr>
          <w:b/>
          <w:bCs/>
        </w:rPr>
        <w:t xml:space="preserve">45,43%</w:t>
      </w:r>
      <w:r>
        <w:t xml:space="preserve"> </w:t>
      </w:r>
      <w:r>
        <w:t xml:space="preserve">foi descartado.</w:t>
      </w:r>
    </w:p>
    <w:p>
      <w:pPr>
        <w:pStyle w:val="Normal"/>
      </w:pPr>
      <w:r>
        <w:rPr>
          <w:b/>
          <w:bCs/>
        </w:rPr>
        <w:t xml:space="preserve">Tabela 1.</w:t>
      </w:r>
      <w:r>
        <w:t xml:space="preserve"> </w:t>
      </w:r>
      <w:r>
        <w:t xml:space="preserve">Casos notificados de arboviroses até a semana 22</w:t>
      </w:r>
    </w:p>
    <w:bookmarkEnd w:id="21"/>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592"/>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Doença</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Casos Registrados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Porcentagem de Casos Prováveis</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Variação em relação ao Ano Passado</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Chikungunya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44.86%</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Dengue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2,766,201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30.54%</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2,927,837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31.09%</w:t>
            </w:r>
          </w:p>
        </w:tc>
      </w:tr>
    </w:tbl>
    <w:bookmarkStart w:id="28" w:name="X24e241ccc5270310097491ee4e8378e9dc81748"/>
    <w:p>
      <w:pPr>
        <w:pStyle w:val="Ttulo3"/>
      </w:pPr>
      <w:r>
        <w:rPr>
          <w:b/>
          <w:bCs/>
        </w:rPr>
        <w:t xml:space="preserve">Curvas de incidência e limiares epidêmicos para dengue e chikungunya no Brasil</w:t>
      </w:r>
    </w:p>
    <w:p>
      <w:pPr>
        <w:pStyle w:val="Normal"/>
      </w:pPr>
      <w:r>
        <w:t xml:space="preserve">Nas figuras 1 e 2 estão apresentadas as curvas de incidências e seus limiares epidêmicos para o Brasil para dengue e chikungunya, respectivamente. A curva em</w:t>
      </w:r>
      <w:r>
        <w:t xml:space="preserve"> </w:t>
      </w:r>
      <w:r>
        <w:rPr>
          <w:b/>
          <w:bCs/>
        </w:rPr>
        <w:t xml:space="preserve">vermelho</w:t>
      </w:r>
      <w:r>
        <w:t xml:space="preserve"> </w:t>
      </w:r>
      <w:r>
        <w:t xml:space="preserve">indica a incidência estimada no ano atual até a semana 22, enquanto a tracejada em</w:t>
      </w:r>
      <w:r>
        <w:t xml:space="preserve"> </w:t>
      </w:r>
      <w:r>
        <w:rPr>
          <w:b/>
          <w:bCs/>
        </w:rPr>
        <w:t xml:space="preserve">vermelho escuro</w:t>
      </w:r>
      <w:r>
        <w:t xml:space="preserve"> </w:t>
      </w:r>
      <w:r>
        <w:t xml:space="preserve">representa a incidência observada. A linha tracejada em</w:t>
      </w:r>
      <w:r>
        <w:t xml:space="preserve"> </w:t>
      </w:r>
      <w:r>
        <w:rPr>
          <w:b/>
          <w:bCs/>
        </w:rPr>
        <w:t xml:space="preserve">preto</w:t>
      </w:r>
      <w:r>
        <w:t xml:space="preserve"> </w:t>
      </w:r>
      <w:r>
        <w:t xml:space="preserve">indica o limiar de incidência muito alta.</w:t>
      </w:r>
    </w:p>
    <w:p>
      <w:pPr>
        <w:pStyle w:val="Normal"/>
      </w:pPr>
      <w:r>
        <w:t xml:space="preserve">A curva de casos notificados de dengue segue mantendo tendência de aumento de casos desde a SE 44, acima dos canais endêmicos. Houve uma aceleração na notificação após as festividades de final de ano. O número reprodutivo encontra-se entre</w:t>
      </w:r>
      <w:r>
        <w:t xml:space="preserve"> </w:t>
      </w:r>
      <w:r>
        <w:rPr>
          <w:b/>
          <w:bCs/>
        </w:rPr>
        <w:t xml:space="preserve">1,4 e 1,7</w:t>
      </w:r>
      <w:r>
        <w:t xml:space="preserve"> </w:t>
      </w:r>
      <w:r>
        <w:t xml:space="preserve">(estava</w:t>
      </w:r>
      <w:r>
        <w:t xml:space="preserve"> </w:t>
      </w:r>
      <w:r>
        <w:rPr>
          <w:b/>
          <w:bCs/>
        </w:rPr>
        <w:t xml:space="preserve">1,3</w:t>
      </w:r>
      <w:r>
        <w:t xml:space="preserve"> </w:t>
      </w:r>
      <w:r>
        <w:t xml:space="preserve">no final de 2024). Se mantido esse crescimento, um total de casos de dengue entre</w:t>
      </w:r>
      <w:r>
        <w:t xml:space="preserve"> </w:t>
      </w:r>
      <w:r>
        <w:rPr>
          <w:b/>
          <w:bCs/>
        </w:rPr>
        <w:t xml:space="preserve">3,5 e 4,8 milhões</w:t>
      </w:r>
      <w:r>
        <w:t xml:space="preserve"> </w:t>
      </w:r>
      <w:r>
        <w:t xml:space="preserve">pode ser atingido durante essa temporada (ver explicações do método ao final do Informe).</w:t>
      </w:r>
    </w:p>
    <w:p>
      <w:pPr>
        <w:pStyle w:val="Normal"/>
      </w:pPr>
      <w:r>
        <w:t xml:space="preserve">A curva de casos notificados de chikungunya também mostra tendência de aumento mais acelerado, passando de</w:t>
      </w:r>
      <w:r>
        <w:t xml:space="preserve"> </w:t>
      </w:r>
      <w:r>
        <w:rPr>
          <w:b/>
          <w:bCs/>
        </w:rPr>
        <w:t xml:space="preserve">Rt = 1,25</w:t>
      </w:r>
      <w:r>
        <w:t xml:space="preserve"> </w:t>
      </w:r>
      <w:r>
        <w:t xml:space="preserve">em dezembro, para</w:t>
      </w:r>
      <w:r>
        <w:t xml:space="preserve"> </w:t>
      </w:r>
      <w:r>
        <w:rPr>
          <w:b/>
          <w:bCs/>
        </w:rPr>
        <w:t xml:space="preserve">Rt entre 1,5 e 1,6</w:t>
      </w:r>
      <w:r>
        <w:t xml:space="preserve"> </w:t>
      </w:r>
      <w:r>
        <w:t xml:space="preserve">em janeiro. Com esse crescimento, um total de</w:t>
      </w:r>
      <w:r>
        <w:t xml:space="preserve"> </w:t>
      </w:r>
      <w:r>
        <w:rPr>
          <w:b/>
          <w:bCs/>
        </w:rPr>
        <w:t xml:space="preserve">120 a 350 mil casos</w:t>
      </w:r>
      <w:r>
        <w:t xml:space="preserve"> </w:t>
      </w:r>
      <w:r>
        <w:t xml:space="preserve">desse agravo podem vir a ser notificados na temporada atual.</w:t>
      </w:r>
    </w:p>
    <w:p>
      <w:pPr>
        <w:pStyle w:val="Normal"/>
      </w:pPr>
      <w:r>
        <w:drawing>
          <wp:inline>
            <wp:extent cx="5943600" cy="2476500"/>
            <wp:effectExtent b="0" l="0" r="0" t="0"/>
            <wp:docPr descr="" title="" id="23" name="Picture"/>
            <a:graphic>
              <a:graphicData uri="http://schemas.openxmlformats.org/drawingml/2006/picture">
                <pic:pic>
                  <pic:nvPicPr>
                    <pic:cNvPr descr="report/outputs/boletins_nacionais/Informe_Infodengue_SE202522_files/figure-docx/unnamed-chunk-8-1.png" id="24" name="Picture"/>
                    <pic:cNvPicPr>
                      <a:picLocks noChangeArrowheads="1" noChangeAspect="1"/>
                    </pic:cNvPicPr>
                  </pic:nvPicPr>
                  <pic:blipFill>
                    <a:blip r:embed="rId22"/>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1.</w:t>
      </w:r>
      <w:r>
        <w:t xml:space="preserve"> </w:t>
      </w:r>
      <w:r>
        <w:t xml:space="preserve">Curvas de nowcasting para incidência de dengue até a semana epidemiológica 22 e limiares epidêmicos.</w:t>
      </w:r>
    </w:p>
    <w:p>
      <w:pPr>
        <w:pStyle w:val="Normal"/>
      </w:pPr>
      <w:r>
        <w:drawing>
          <wp:inline>
            <wp:extent cx="5943600" cy="2476500"/>
            <wp:effectExtent b="0" l="0" r="0" t="0"/>
            <wp:docPr descr="" title="" id="26" name="Picture"/>
            <a:graphic>
              <a:graphicData uri="http://schemas.openxmlformats.org/drawingml/2006/picture">
                <pic:pic>
                  <pic:nvPicPr>
                    <pic:cNvPr descr="report/outputs/boletins_nacionais/Informe_Infodengue_SE202522_files/figure-docx/unnamed-chunk-9-1.png" id="27" name="Picture"/>
                    <pic:cNvPicPr>
                      <a:picLocks noChangeArrowheads="1" noChangeAspect="1"/>
                    </pic:cNvPicPr>
                  </pic:nvPicPr>
                  <pic:blipFill>
                    <a:blip r:embed="rId25"/>
                    <a:stretch>
                      <a:fillRect/>
                    </a:stretch>
                  </pic:blipFill>
                  <pic:spPr bwMode="auto">
                    <a:xfrm>
                      <a:off x="0" y="0"/>
                      <a:ext cx="5943600" cy="2476500"/>
                    </a:xfrm>
                    <a:prstGeom prst="rect">
                      <a:avLst/>
                    </a:prstGeom>
                    <a:noFill/>
                    <a:ln w="9525">
                      <a:noFill/>
                      <a:headEnd/>
                      <a:tailEnd/>
                    </a:ln>
                  </pic:spPr>
                </pic:pic>
              </a:graphicData>
            </a:graphic>
          </wp:inline>
        </w:drawing>
      </w:r>
    </w:p>
    <w:p>
      <w:pPr>
        <w:pStyle w:val="Normal"/>
      </w:pPr>
      <w:r>
        <w:rPr>
          <w:b/>
          <w:bCs/>
        </w:rPr>
        <w:t xml:space="preserve">Figura 2.</w:t>
      </w:r>
      <w:r>
        <w:t xml:space="preserve"> </w:t>
      </w:r>
      <w:r>
        <w:t xml:space="preserve">Curvas de nowcasting para incidência de chikungunya até a semana epidemiológica 22 e limiares epidêmicos.</w:t>
      </w:r>
    </w:p>
    <w:bookmarkEnd w:id="28"/>
    <w:bookmarkStart w:id="32" w:name="X40a690e9d5f4240b42a4fdcdffd07fc5348371b"/>
    <w:p>
      <w:pPr>
        <w:pStyle w:val="Ttulo2"/>
      </w:pPr>
      <w:r>
        <w:rPr>
          <w:b/>
          <w:bCs/>
        </w:rPr>
        <w:t xml:space="preserve">Curvas de incidência e limiares epidêmicos para dengue por UF</w:t>
      </w:r>
    </w:p>
    <w:p>
      <w:pPr>
        <w:pStyle w:val="Normal"/>
      </w:pPr>
      <w:r>
        <w:t xml:space="preserve">As curvas de incidência dos casos suspeitos notificados e os casos estimados de acordo com o nowcast, por estado, são apresentadas na figura 3. A curva em</w:t>
      </w:r>
      <w:r>
        <w:t xml:space="preserve"> </w:t>
      </w:r>
      <w:r>
        <w:rPr>
          <w:b/>
          <w:bCs/>
        </w:rPr>
        <w:t xml:space="preserve">vermelho</w:t>
      </w:r>
      <w:r>
        <w:t xml:space="preserve"> </w:t>
      </w:r>
      <w:r>
        <w:t xml:space="preserve">indica a incidência estimada no ano atual até a semana 22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Na região Norte, chama atenção o Acre com tendência forte de crescimento, em discrepância com o padrão no ano passado, que já era de queda nessa semana. AP, AM e PA ultrapassaram o limiar epidêmico, estando em estado de alerta. Pará está com atividade acima da registrada no ano anterior.</w:t>
      </w:r>
    </w:p>
    <w:p>
      <w:pPr>
        <w:pStyle w:val="Normal"/>
      </w:pPr>
      <w:r>
        <w:t xml:space="preserve">Na região Nordeste, todos estão abaixo do limiar epidêmico e as curvas de incidência estimada estão dentro ou próximas dos canais endêmicos. PB apresenta atividade acima do registrado no ano passado.</w:t>
      </w:r>
    </w:p>
    <w:p>
      <w:pPr>
        <w:pStyle w:val="Normal"/>
      </w:pPr>
      <w:r>
        <w:t xml:space="preserve">No Centro-Oeste, MT está acima do limiar epidêmico e GO está próximo, gerando um alerta. Apenas MT está bem acima da incidência registrada no ano anterior.</w:t>
      </w:r>
    </w:p>
    <w:p>
      <w:pPr>
        <w:pStyle w:val="Normal"/>
      </w:pPr>
      <w:r>
        <w:t xml:space="preserve">Na região Sudeste, todos os estados passaram do limiar epidêmico, estando em alerta. Dentre eles, SP chama atenção pela incidência mais alta do que em 2024, a qual já foi muito alta.</w:t>
      </w:r>
    </w:p>
    <w:p>
      <w:pPr>
        <w:pStyle w:val="Normal"/>
      </w:pPr>
      <w:r>
        <w:t xml:space="preserve">No Sul, SC e RS mantêm-se acima do limiar epidêmico. Ambos apresentam notificação de casos menores que em 2024. O Paraná está abaixo do limiar epidêmico do estado, que é mais alto (55 casos por 100.000 hab), e segue com crescimento na incidência estimada, embora com valores bem mais baixos que 2024.</w:t>
      </w:r>
    </w:p>
    <w:p>
      <w:pPr>
        <w:pStyle w:val="Normal"/>
      </w:pPr>
      <w:r>
        <w:drawing>
          <wp:inline>
            <wp:extent cx="5943600" cy="6483927"/>
            <wp:effectExtent b="0" l="0" r="0" t="0"/>
            <wp:docPr descr="" title="" id="30" name="Picture"/>
            <a:graphic>
              <a:graphicData uri="http://schemas.openxmlformats.org/drawingml/2006/picture">
                <pic:pic>
                  <pic:nvPicPr>
                    <pic:cNvPr descr="report/outputs/boletins_nacionais/Informe_Infodengue_SE202522_files/figure-docx/unnamed-chunk-10-1.png" id="31" name="Picture"/>
                    <pic:cNvPicPr>
                      <a:picLocks noChangeArrowheads="1" noChangeAspect="1"/>
                    </pic:cNvPicPr>
                  </pic:nvPicPr>
                  <pic:blipFill>
                    <a:blip r:embed="rId29"/>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3.</w:t>
      </w:r>
      <w:r>
        <w:t xml:space="preserve"> </w:t>
      </w:r>
      <w:r>
        <w:t xml:space="preserve">Curvas de incidência e limiares epidêmicos para dengue até a semana epidemiológica 22.</w:t>
      </w:r>
    </w:p>
    <w:bookmarkEnd w:id="32"/>
    <w:bookmarkStart w:id="36" w:name="X7851a6053178e80016a6865e6a43e2e6e58004b"/>
    <w:p>
      <w:pPr>
        <w:pStyle w:val="Ttulo2"/>
      </w:pPr>
      <w:r>
        <w:t xml:space="preserve">Curvas de incidência e limiares epidêmicos para chikungunya por UF</w:t>
      </w:r>
    </w:p>
    <w:p>
      <w:pPr>
        <w:pStyle w:val="Normal"/>
      </w:pPr>
      <w:r>
        <w:t xml:space="preserve">Na figura 4 são exibidas, por estado, as curvas de incidência dos casos suspeitos notificados e os casos estimados de acordo com o nowcast. A curva em</w:t>
      </w:r>
      <w:r>
        <w:t xml:space="preserve"> </w:t>
      </w:r>
      <w:r>
        <w:rPr>
          <w:b/>
          <w:bCs/>
        </w:rPr>
        <w:t xml:space="preserve">vermelho</w:t>
      </w:r>
      <w:r>
        <w:t xml:space="preserve"> </w:t>
      </w:r>
      <w:r>
        <w:t xml:space="preserve">indica a incidência estimada no ano atual até a semana 22 enquanto a tracejada em</w:t>
      </w:r>
      <w:r>
        <w:t xml:space="preserve"> </w:t>
      </w:r>
      <w:r>
        <w:rPr>
          <w:b/>
          <w:bCs/>
        </w:rPr>
        <w:t xml:space="preserve">vermelho escuro</w:t>
      </w:r>
      <w:r>
        <w:t xml:space="preserve"> </w:t>
      </w:r>
      <w:r>
        <w:t xml:space="preserve">a incidência observada. A curva em</w:t>
      </w:r>
      <w:r>
        <w:t xml:space="preserve"> </w:t>
      </w:r>
      <w:r>
        <w:rPr>
          <w:b/>
          <w:bCs/>
        </w:rPr>
        <w:t xml:space="preserve">azul</w:t>
      </w:r>
      <w:r>
        <w:t xml:space="preserve"> </w:t>
      </w:r>
      <w:r>
        <w:t xml:space="preserve">exibe os valores observados em 2024. A linha tracejada em</w:t>
      </w:r>
      <w:r>
        <w:t xml:space="preserve"> </w:t>
      </w:r>
      <w:r>
        <w:rPr>
          <w:b/>
          <w:bCs/>
        </w:rPr>
        <w:t xml:space="preserve">preto</w:t>
      </w:r>
      <w:r>
        <w:t xml:space="preserve"> </w:t>
      </w:r>
      <w:r>
        <w:t xml:space="preserve">indica o limiar de incidência muito alta.</w:t>
      </w:r>
    </w:p>
    <w:p>
      <w:pPr>
        <w:pStyle w:val="Normal"/>
      </w:pPr>
      <w:r>
        <w:t xml:space="preserve">No Norte, os modelos indicam um aumento rápido de notificação de chikungunya no AP e, mais lento, no AC.</w:t>
      </w:r>
    </w:p>
    <w:p>
      <w:pPr>
        <w:pStyle w:val="Normal"/>
      </w:pPr>
      <w:r>
        <w:t xml:space="preserve">No Nordeste, a notificação desse agravo encontra-se baixa para a época.</w:t>
      </w:r>
    </w:p>
    <w:p>
      <w:pPr>
        <w:pStyle w:val="Normal"/>
      </w:pPr>
      <w:r>
        <w:t xml:space="preserve">No Centro-Oeste, MT, MS e GO estão com notificação acima do limiar epidêmico, com forte tendência de subida em MT e MS.</w:t>
      </w:r>
    </w:p>
    <w:p>
      <w:pPr>
        <w:pStyle w:val="Normal"/>
      </w:pPr>
      <w:r>
        <w:t xml:space="preserve">No Sudeste, observa-se SP e MG com notificação acima do limiar epidêmico e tendência de aumento.</w:t>
      </w:r>
    </w:p>
    <w:p>
      <w:pPr>
        <w:pStyle w:val="Normal"/>
      </w:pPr>
      <w:r>
        <w:t xml:space="preserve">No Sul, o Paraná entra em alerta, com notificação acima do limiar epidêmico.</w:t>
      </w:r>
    </w:p>
    <w:p>
      <w:pPr>
        <w:pStyle w:val="Normal"/>
      </w:pPr>
      <w:r>
        <w:drawing>
          <wp:inline>
            <wp:extent cx="5943600" cy="6483927"/>
            <wp:effectExtent b="0" l="0" r="0" t="0"/>
            <wp:docPr descr="" title="" id="34" name="Picture"/>
            <a:graphic>
              <a:graphicData uri="http://schemas.openxmlformats.org/drawingml/2006/picture">
                <pic:pic>
                  <pic:nvPicPr>
                    <pic:cNvPr descr="report/outputs/boletins_nacionais/Informe_Infodengue_SE202522_files/figure-docx/unnamed-chunk-11-1.png" id="35" name="Picture"/>
                    <pic:cNvPicPr>
                      <a:picLocks noChangeArrowheads="1" noChangeAspect="1"/>
                    </pic:cNvPicPr>
                  </pic:nvPicPr>
                  <pic:blipFill>
                    <a:blip r:embed="rId33"/>
                    <a:stretch>
                      <a:fillRect/>
                    </a:stretch>
                  </pic:blipFill>
                  <pic:spPr bwMode="auto">
                    <a:xfrm>
                      <a:off x="0" y="0"/>
                      <a:ext cx="5943600" cy="6483927"/>
                    </a:xfrm>
                    <a:prstGeom prst="rect">
                      <a:avLst/>
                    </a:prstGeom>
                    <a:noFill/>
                    <a:ln w="9525">
                      <a:noFill/>
                      <a:headEnd/>
                      <a:tailEnd/>
                    </a:ln>
                  </pic:spPr>
                </pic:pic>
              </a:graphicData>
            </a:graphic>
          </wp:inline>
        </w:drawing>
      </w:r>
    </w:p>
    <w:p>
      <w:pPr>
        <w:pStyle w:val="Normal"/>
      </w:pPr>
      <w:r>
        <w:rPr>
          <w:b/>
          <w:bCs/>
        </w:rPr>
        <w:t xml:space="preserve">Figura 4.</w:t>
      </w:r>
      <w:r>
        <w:t xml:space="preserve"> </w:t>
      </w:r>
      <w:r>
        <w:t xml:space="preserve">Curvas de incidência e limiares epidêmicos para chikungunya até a semana epidemiológica 22.</w:t>
      </w:r>
    </w:p>
    <w:bookmarkEnd w:id="36"/>
    <w:bookmarkStart w:id="43" w:name="picos-de-incidências-por-uf"/>
    <w:p>
      <w:pPr>
        <w:pStyle w:val="Ttulo2"/>
      </w:pPr>
      <w:r>
        <w:rPr>
          <w:b/>
          <w:bCs/>
        </w:rPr>
        <w:t xml:space="preserve">Picos de incidências por UF</w:t>
      </w:r>
    </w:p>
    <w:p>
      <w:pPr>
        <w:pStyle w:val="Normal"/>
      </w:pPr>
      <w:r>
        <w:t xml:space="preserve">Na figura 5 e 6 estão representadas os picos das incidências anuais de dengue e chikungunya, por unidade da federação. Os pontos</w:t>
      </w:r>
      <w:r>
        <w:t xml:space="preserve"> </w:t>
      </w:r>
      <w:r>
        <w:rPr>
          <w:b/>
          <w:bCs/>
        </w:rPr>
        <w:t xml:space="preserve">cinzas</w:t>
      </w:r>
      <w:r>
        <w:t xml:space="preserve"> </w:t>
      </w:r>
      <w:r>
        <w:t xml:space="preserve">indicam os picos para os anos anteriores (2010 a 2024), o ponto</w:t>
      </w:r>
      <w:r>
        <w:t xml:space="preserve"> </w:t>
      </w:r>
      <w:r>
        <w:rPr>
          <w:b/>
          <w:bCs/>
        </w:rPr>
        <w:t xml:space="preserve">vermelho</w:t>
      </w:r>
      <w:r>
        <w:t xml:space="preserve"> </w:t>
      </w:r>
      <w:r>
        <w:t xml:space="preserve">indica o pico em 2025 e o ponto</w:t>
      </w:r>
      <w:r>
        <w:t xml:space="preserve"> </w:t>
      </w:r>
      <w:r>
        <w:rPr>
          <w:b/>
          <w:bCs/>
        </w:rPr>
        <w:t xml:space="preserve">laranja</w:t>
      </w:r>
      <w:r>
        <w:t xml:space="preserve"> </w:t>
      </w:r>
      <w:r>
        <w:t xml:space="preserve">a incidência na semana 22.</w:t>
      </w:r>
    </w:p>
    <w:p>
      <w:pPr>
        <w:pStyle w:val="Normal"/>
      </w:pPr>
      <w:r>
        <w:t xml:space="preserve">Nota-se que nenhuma UF esta apresentando a máxima incidência de dengue neste ano.</w:t>
      </w:r>
    </w:p>
    <w:p>
      <w:pPr>
        <w:pStyle w:val="Normal"/>
      </w:pPr>
      <w:r>
        <w:drawing>
          <wp:inline>
            <wp:extent cx="5943600" cy="1981200"/>
            <wp:effectExtent b="0" l="0" r="0" t="0"/>
            <wp:docPr descr="" title="" id="38" name="Picture"/>
            <a:graphic>
              <a:graphicData uri="http://schemas.openxmlformats.org/drawingml/2006/picture">
                <pic:pic>
                  <pic:nvPicPr>
                    <pic:cNvPr descr="report/outputs/boletins_nacionais/Informe_Infodengue_SE202522_files/figure-docx/unnamed-chunk-14-1.png" id="39" name="Picture"/>
                    <pic:cNvPicPr>
                      <a:picLocks noChangeArrowheads="1" noChangeAspect="1"/>
                    </pic:cNvPicPr>
                  </pic:nvPicPr>
                  <pic:blipFill>
                    <a:blip r:embed="rId37"/>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5.</w:t>
      </w:r>
      <w:r>
        <w:t xml:space="preserve"> </w:t>
      </w:r>
      <w:r>
        <w:t xml:space="preserve">Pico da incidência por 100 mil habitantes sobre os casos notificados de dengue até a semana 22.</w:t>
      </w:r>
    </w:p>
    <w:p>
      <w:pPr>
        <w:pStyle w:val="Normal"/>
      </w:pPr>
      <w:r>
        <w:t xml:space="preserve">Nota-se que nenhuma UF esta apresentando a máxima incidência de chikungunya neste ano.</w:t>
      </w:r>
    </w:p>
    <w:p>
      <w:pPr>
        <w:pStyle w:val="Normal"/>
      </w:pPr>
      <w:r>
        <w:drawing>
          <wp:inline>
            <wp:extent cx="5943600" cy="1981200"/>
            <wp:effectExtent b="0" l="0" r="0" t="0"/>
            <wp:docPr descr="" title="" id="41" name="Picture"/>
            <a:graphic>
              <a:graphicData uri="http://schemas.openxmlformats.org/drawingml/2006/picture">
                <pic:pic>
                  <pic:nvPicPr>
                    <pic:cNvPr descr="report/outputs/boletins_nacionais/Informe_Infodengue_SE202522_files/figure-docx/unnamed-chunk-16-1.png" id="42" name="Picture"/>
                    <pic:cNvPicPr>
                      <a:picLocks noChangeArrowheads="1" noChangeAspect="1"/>
                    </pic:cNvPicPr>
                  </pic:nvPicPr>
                  <pic:blipFill>
                    <a:blip r:embed="rId40"/>
                    <a:stretch>
                      <a:fillRect/>
                    </a:stretch>
                  </pic:blipFill>
                  <pic:spPr bwMode="auto">
                    <a:xfrm>
                      <a:off x="0" y="0"/>
                      <a:ext cx="5943600" cy="1981200"/>
                    </a:xfrm>
                    <a:prstGeom prst="rect">
                      <a:avLst/>
                    </a:prstGeom>
                    <a:noFill/>
                    <a:ln w="9525">
                      <a:noFill/>
                      <a:headEnd/>
                      <a:tailEnd/>
                    </a:ln>
                  </pic:spPr>
                </pic:pic>
              </a:graphicData>
            </a:graphic>
          </wp:inline>
        </w:drawing>
      </w:r>
    </w:p>
    <w:p>
      <w:pPr>
        <w:pStyle w:val="Normal"/>
      </w:pPr>
      <w:r>
        <w:rPr>
          <w:b/>
          <w:bCs/>
        </w:rPr>
        <w:t xml:space="preserve">Figura 6.</w:t>
      </w:r>
      <w:r>
        <w:t xml:space="preserve"> </w:t>
      </w:r>
      <w:r>
        <w:t xml:space="preserve">Pico da incidência por 100 mil habitantes sobre os casos notificados de chikungunya até a semana 22.</w:t>
      </w:r>
    </w:p>
    <w:bookmarkEnd w:id="43"/>
    <w:bookmarkStart w:id="47" w:name="Xce3fd8f275c607ae39d91c1d2ce74298fa753d4"/>
    <w:p>
      <w:pPr>
        <w:pStyle w:val="Ttulo2"/>
      </w:pPr>
      <w:r>
        <w:rPr>
          <w:b/>
          <w:bCs/>
        </w:rPr>
        <w:t xml:space="preserve">Análise de tendência de crescimento de casos de dengue</w:t>
      </w:r>
    </w:p>
    <w:p>
      <w:pPr>
        <w:pStyle w:val="Normal"/>
      </w:pPr>
      <w:r>
        <w:t xml:space="preserve">A tabela 2 apresenta um panorama sobre a tendência da incidência de dengue para casos notificados e estimados em todo o país até a semana 22.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Quase todos os estados, com exceção de RO e RR, estão com crescimento de notificação. As maiores taxas de aumento são registradas no AC e PA.</w:t>
      </w:r>
    </w:p>
    <w:p>
      <w:pPr>
        <w:pStyle w:val="Normal"/>
      </w:pPr>
      <w:r>
        <w:rPr>
          <w:b/>
          <w:bCs/>
        </w:rPr>
        <w:t xml:space="preserve">Nordeste:</w:t>
      </w:r>
      <w:r>
        <w:t xml:space="preserve"> </w:t>
      </w:r>
      <w:r>
        <w:t xml:space="preserve">Quase todos os estados com tendência de crescimento de notificação, ainda que as incidências estejam baixas.</w:t>
      </w:r>
    </w:p>
    <w:p>
      <w:pPr>
        <w:pStyle w:val="Normal"/>
      </w:pPr>
      <w:r>
        <w:rPr>
          <w:b/>
          <w:bCs/>
        </w:rPr>
        <w:t xml:space="preserve">Centro-Oeste:</w:t>
      </w:r>
      <w:r>
        <w:t xml:space="preserve"> </w:t>
      </w:r>
      <w:r>
        <w:t xml:space="preserve">Todos em crescimento de notificação, com exceção de MS. Os maiores valores de Rt são registrados em MT (Rt = 1,62), onde o crescimento está concentrado nas regiões Centro-Noroeste e Sul. DF está com leve crescimento (Rt = 1,13).</w:t>
      </w:r>
    </w:p>
    <w:p>
      <w:pPr>
        <w:pStyle w:val="Normal"/>
      </w:pPr>
      <w:r>
        <w:rPr>
          <w:b/>
          <w:bCs/>
        </w:rPr>
        <w:t xml:space="preserve">Sudeste:</w:t>
      </w:r>
      <w:r>
        <w:t xml:space="preserve"> </w:t>
      </w:r>
      <w:r>
        <w:t xml:space="preserve">Todos os estados com tendência de aumento de notificação, com Rt variando de 1.4 (RJ) a 1.59 (MG). Em SP, muitas regiões de saúde estão com crescimento acima da média, chamando atenção para RRAS 13, com Rt = 1,9. Em MG, esse nível de crescimento é observado nas regiões Nordeste e Sudeste. ES com dados incompletos.</w:t>
      </w:r>
    </w:p>
    <w:p>
      <w:pPr>
        <w:pStyle w:val="Normal"/>
      </w:pPr>
      <w:r>
        <w:rPr>
          <w:b/>
          <w:bCs/>
        </w:rPr>
        <w:t xml:space="preserve">Sul:</w:t>
      </w:r>
      <w:r>
        <w:t xml:space="preserve"> </w:t>
      </w:r>
      <w:r>
        <w:t xml:space="preserve">Todos os estados estavam com número reprodutivo maior que 1, porém de crescimento mais leve que a média nacional. O maior valor ocorreu no PR (Rt = 1,32). Já SC e RS estão com Rt abaixo de 1,2.</w:t>
      </w:r>
    </w:p>
    <w:p>
      <w:pPr>
        <w:pStyle w:val="Corpodetexto"/>
      </w:pPr>
      <w:r>
        <w:rPr>
          <w:b/>
          <w:bCs/>
        </w:rPr>
        <w:t xml:space="preserve">Tabela 2.</w:t>
      </w:r>
      <w:r>
        <w:t xml:space="preserve"> </w:t>
      </w:r>
      <w:r>
        <w:t xml:space="preserve">Situação dos estados em relação à notificação dos casos de dengue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12,81</w:t>
            </w:r>
          </w:p>
        </w:tc>
        <w:tc>
          <w:tcPr>
            <w:tcBorders>
              <w:bottom w:val="none" w:sz="0" w:space="0" w:color="000000"/>
              <w:top w:val="single" w:sz="8" w:space="0" w:color="666666"/>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9,09</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3,46</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17,94</w:t>
            </w:r>
          </w:p>
        </w:tc>
        <w:tc>
          <w:tcPr>
            <w:tcBorders>
              <w:bottom w:val="none" w:sz="0" w:space="0" w:color="000000"/>
              <w:top w:val="single" w:sz="8" w:space="0" w:color="666666"/>
              <w:left w:val="none" w:sz="0" w:space="0" w:color="000000"/>
              <w:right w:val="none" w:sz="0" w:space="0" w:color="000000"/>
            </w:tcBorders>
            <w:shd w:val="clear" w:color="auto" w:fill="DE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16,39</w:t>
            </w:r>
          </w:p>
        </w:tc>
        <w:tc>
          <w:tcPr>
            <w:tcBorders>
              <w:bottom w:val="none" w:sz="0" w:space="0" w:color="000000"/>
              <w:top w:val="single" w:sz="8" w:space="0" w:color="666666"/>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14,63</w:t>
            </w:r>
          </w:p>
        </w:tc>
        <w:tc>
          <w:tcPr>
            <w:tcBorders>
              <w:bottom w:val="none" w:sz="0" w:space="0" w:color="000000"/>
              <w:top w:val="single" w:sz="8" w:space="0" w:color="666666"/>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15,90</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65,68</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68,81</w:t>
            </w:r>
          </w:p>
        </w:tc>
        <w:tc>
          <w:tcPr>
            <w:tcBorders>
              <w:bottom w:val="none" w:sz="0" w:space="0" w:color="000000"/>
              <w:top w:val="none" w:sz="0" w:space="0" w:color="000000"/>
              <w:left w:val="none" w:sz="0" w:space="0" w:color="000000"/>
              <w:right w:val="none" w:sz="0" w:space="0" w:color="000000"/>
            </w:tcBorders>
            <w:shd w:val="clear" w:color="auto" w:fill="FBF2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51,58</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none" w:sz="0" w:space="0" w:color="000000"/>
              <w:top w:val="none" w:sz="0" w:space="0" w:color="000000"/>
              <w:left w:val="none" w:sz="0" w:space="0" w:color="000000"/>
              <w:right w:val="none" w:sz="0" w:space="0" w:color="000000"/>
            </w:tcBorders>
            <w:shd w:val="clear" w:color="auto" w:fill="FCE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70,86</w:t>
            </w:r>
          </w:p>
        </w:tc>
        <w:tc>
          <w:tcPr>
            <w:tcBorders>
              <w:bottom w:val="none" w:sz="0" w:space="0" w:color="000000"/>
              <w:top w:val="none" w:sz="0" w:space="0" w:color="000000"/>
              <w:left w:val="none" w:sz="0" w:space="0" w:color="000000"/>
              <w:right w:val="none" w:sz="0" w:space="0" w:color="000000"/>
            </w:tcBorders>
            <w:shd w:val="clear" w:color="auto" w:fill="FEDF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79,54</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85,32</w:t>
            </w:r>
          </w:p>
        </w:tc>
        <w:tc>
          <w:tcPr>
            <w:tcBorders>
              <w:bottom w:val="none" w:sz="0" w:space="0" w:color="000000"/>
              <w:top w:val="none" w:sz="0" w:space="0" w:color="000000"/>
              <w:left w:val="none" w:sz="0" w:space="0" w:color="000000"/>
              <w:right w:val="single" w:sz="8" w:space="0" w:color="666666"/>
            </w:tcBorders>
            <w:shd w:val="clear" w:color="auto" w:fill="FFD2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93,88</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10,93</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10,58</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11,16</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11,97</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15,28</w:t>
            </w:r>
          </w:p>
        </w:tc>
        <w:tc>
          <w:tcPr>
            <w:tcBorders>
              <w:bottom w:val="none" w:sz="0" w:space="0" w:color="000000"/>
              <w:top w:val="none" w:sz="0" w:space="0" w:color="000000"/>
              <w:left w:val="none" w:sz="0" w:space="0" w:color="000000"/>
              <w:right w:val="single" w:sz="8" w:space="0" w:color="666666"/>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14,89</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7,49</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12,42</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12,57</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0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36,81</w:t>
            </w:r>
          </w:p>
        </w:tc>
        <w:tc>
          <w:tcPr>
            <w:tcBorders>
              <w:bottom w:val="none" w:sz="0" w:space="0" w:color="000000"/>
              <w:top w:val="none" w:sz="0" w:space="0" w:color="000000"/>
              <w:left w:val="none" w:sz="0" w:space="0" w:color="000000"/>
              <w:right w:val="none" w:sz="0" w:space="0" w:color="000000"/>
            </w:tcBorders>
            <w:shd w:val="clear" w:color="auto" w:fill="F2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40,10</w:t>
            </w:r>
          </w:p>
        </w:tc>
        <w:tc>
          <w:tcPr>
            <w:tcBorders>
              <w:bottom w:val="none" w:sz="0" w:space="0" w:color="000000"/>
              <w:top w:val="none" w:sz="0" w:space="0" w:color="000000"/>
              <w:left w:val="none" w:sz="0" w:space="0" w:color="000000"/>
              <w:right w:val="none" w:sz="0" w:space="0" w:color="000000"/>
            </w:tcBorders>
            <w:shd w:val="clear" w:color="auto" w:fill="F8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46,37</w:t>
            </w:r>
          </w:p>
        </w:tc>
        <w:tc>
          <w:tcPr>
            <w:tcBorders>
              <w:bottom w:val="none" w:sz="0" w:space="0" w:color="000000"/>
              <w:top w:val="none" w:sz="0" w:space="0" w:color="000000"/>
              <w:left w:val="none" w:sz="0" w:space="0" w:color="000000"/>
              <w:right w:val="single" w:sz="8" w:space="0" w:color="666666"/>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50,11</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9F9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45,00</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38,57</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24,05</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7,38</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47,09</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43,05</w:t>
            </w:r>
          </w:p>
        </w:tc>
        <w:tc>
          <w:tcPr>
            <w:tcBorders>
              <w:bottom w:val="none" w:sz="0" w:space="0" w:color="000000"/>
              <w:top w:val="none" w:sz="0" w:space="0" w:color="000000"/>
              <w:left w:val="none" w:sz="0" w:space="0" w:color="000000"/>
              <w:right w:val="none" w:sz="0" w:space="0" w:color="000000"/>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34,90</w:t>
            </w:r>
          </w:p>
        </w:tc>
        <w:tc>
          <w:tcPr>
            <w:tcBorders>
              <w:bottom w:val="none" w:sz="0" w:space="0" w:color="000000"/>
              <w:top w:val="none" w:sz="0" w:space="0" w:color="000000"/>
              <w:left w:val="none" w:sz="0" w:space="0" w:color="000000"/>
              <w:right w:val="single" w:sz="8" w:space="0" w:color="666666"/>
            </w:tcBorders>
            <w:shd w:val="clear" w:color="auto" w:fill="EEFB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34,97</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6,02</w:t>
            </w:r>
          </w:p>
        </w:tc>
        <w:tc>
          <w:tcPr>
            <w:tcBorders>
              <w:bottom w:val="none" w:sz="0" w:space="0" w:color="000000"/>
              <w:top w:val="none" w:sz="0" w:space="0" w:color="000000"/>
              <w:left w:val="none" w:sz="0" w:space="0" w:color="000000"/>
              <w:right w:val="single" w:sz="8" w:space="0" w:color="666666"/>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6,40</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12,32</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15,26</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14,89</w:t>
            </w:r>
          </w:p>
        </w:tc>
        <w:tc>
          <w:tcPr>
            <w:tcBorders>
              <w:bottom w:val="none" w:sz="0" w:space="0" w:color="000000"/>
              <w:top w:val="none" w:sz="0" w:space="0" w:color="000000"/>
              <w:left w:val="none" w:sz="0" w:space="0" w:color="000000"/>
              <w:right w:val="none" w:sz="0" w:space="0" w:color="000000"/>
            </w:tcBorders>
            <w:shd w:val="clear" w:color="auto" w:fill="DC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14,56</w:t>
            </w:r>
          </w:p>
        </w:tc>
        <w:tc>
          <w:tcPr>
            <w:tcBorders>
              <w:bottom w:val="none" w:sz="0" w:space="0" w:color="000000"/>
              <w:top w:val="none" w:sz="0" w:space="0" w:color="000000"/>
              <w:left w:val="none" w:sz="0" w:space="0" w:color="000000"/>
              <w:right w:val="single" w:sz="8" w:space="0" w:color="666666"/>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16,91</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5,77</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11,39</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10,90</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9,45</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9,28</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16,56</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11,35</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3,51</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13,04</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11,74</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11,99</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12,55</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11,09</w:t>
            </w:r>
          </w:p>
        </w:tc>
        <w:tc>
          <w:tcPr>
            <w:tcBorders>
              <w:bottom w:val="none" w:sz="0" w:space="0" w:color="000000"/>
              <w:top w:val="none" w:sz="0" w:space="0" w:color="000000"/>
              <w:left w:val="none" w:sz="0" w:space="0" w:color="000000"/>
              <w:right w:val="single" w:sz="8" w:space="0" w:color="666666"/>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10,92</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9,37</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4,76</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12,24</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11,51</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11,57</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12,10</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6,53</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8,38</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10,14</w:t>
            </w:r>
          </w:p>
        </w:tc>
        <w:tc>
          <w:tcPr>
            <w:tcBorders>
              <w:bottom w:val="none" w:sz="0" w:space="0" w:color="000000"/>
              <w:top w:val="none" w:sz="0" w:space="0" w:color="000000"/>
              <w:left w:val="none" w:sz="0" w:space="0" w:color="000000"/>
              <w:right w:val="single" w:sz="8" w:space="0" w:color="666666"/>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12,05</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5,33</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5,52</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6,37</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5,49</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A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11,04</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12,97</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12,88</w:t>
            </w:r>
          </w:p>
        </w:tc>
        <w:tc>
          <w:tcPr>
            <w:tcBorders>
              <w:bottom w:val="none" w:sz="0" w:space="0" w:color="000000"/>
              <w:top w:val="none" w:sz="0" w:space="0" w:color="000000"/>
              <w:left w:val="none" w:sz="0" w:space="0" w:color="000000"/>
              <w:right w:val="none" w:sz="0" w:space="0" w:color="000000"/>
            </w:tcBorders>
            <w:shd w:val="clear" w:color="auto" w:fill="DB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13,26</w:t>
            </w:r>
          </w:p>
        </w:tc>
        <w:tc>
          <w:tcPr>
            <w:tcBorders>
              <w:bottom w:val="none" w:sz="0" w:space="0" w:color="000000"/>
              <w:top w:val="none" w:sz="0" w:space="0" w:color="000000"/>
              <w:left w:val="none" w:sz="0" w:space="0" w:color="000000"/>
              <w:right w:val="single" w:sz="8" w:space="0" w:color="666666"/>
            </w:tcBorders>
            <w:shd w:val="clear" w:color="auto" w:fill="DB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13,55</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50,92</w:t>
            </w:r>
          </w:p>
        </w:tc>
        <w:tc>
          <w:tcPr>
            <w:tcBorders>
              <w:bottom w:val="none" w:sz="0" w:space="0" w:color="000000"/>
              <w:top w:val="none" w:sz="0" w:space="0" w:color="000000"/>
              <w:left w:val="none" w:sz="0" w:space="0" w:color="000000"/>
              <w:right w:val="none" w:sz="0" w:space="0" w:color="000000"/>
            </w:tcBorders>
            <w:shd w:val="clear" w:color="auto" w:fill="F5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39,07</w:t>
            </w:r>
          </w:p>
        </w:tc>
        <w:tc>
          <w:tcPr>
            <w:tcBorders>
              <w:bottom w:val="none" w:sz="0" w:space="0" w:color="000000"/>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23,40</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BF2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58,41</w:t>
            </w:r>
          </w:p>
        </w:tc>
        <w:tc>
          <w:tcPr>
            <w:tcBorders>
              <w:bottom w:val="none" w:sz="0" w:space="0" w:color="000000"/>
              <w:top w:val="none" w:sz="0" w:space="0" w:color="000000"/>
              <w:left w:val="none" w:sz="0" w:space="0" w:color="000000"/>
              <w:right w:val="none" w:sz="0" w:space="0" w:color="000000"/>
            </w:tcBorders>
            <w:shd w:val="clear" w:color="auto" w:fill="FAF8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51,27</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45,18</w:t>
            </w:r>
          </w:p>
        </w:tc>
        <w:tc>
          <w:tcPr>
            <w:tcBorders>
              <w:bottom w:val="none" w:sz="0" w:space="0" w:color="000000"/>
              <w:top w:val="none" w:sz="0" w:space="0" w:color="000000"/>
              <w:left w:val="none" w:sz="0" w:space="0" w:color="000000"/>
              <w:right w:val="single" w:sz="8" w:space="0" w:color="666666"/>
            </w:tcBorders>
            <w:shd w:val="clear" w:color="auto" w:fill="F6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44,86</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AF7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46,77</w:t>
            </w:r>
          </w:p>
        </w:tc>
        <w:tc>
          <w:tcPr>
            <w:tcBorders>
              <w:bottom w:val="none" w:sz="0" w:space="0" w:color="000000"/>
              <w:top w:val="none" w:sz="0" w:space="0" w:color="000000"/>
              <w:left w:val="none" w:sz="0" w:space="0" w:color="000000"/>
              <w:right w:val="none" w:sz="0" w:space="0" w:color="000000"/>
            </w:tcBorders>
            <w:shd w:val="clear" w:color="auto" w:fill="F7FBC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40,80</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37,91</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17,38</w:t>
            </w:r>
          </w:p>
        </w:tc>
        <w:tc>
          <w:tcPr>
            <w:tcBorders>
              <w:bottom w:val="none" w:sz="0" w:space="0" w:color="000000"/>
              <w:top w:val="none" w:sz="0" w:space="0" w:color="000000"/>
              <w:left w:val="none" w:sz="0" w:space="0" w:color="000000"/>
              <w:right w:val="none" w:sz="0" w:space="0" w:color="000000"/>
            </w:tcBorders>
            <w:shd w:val="clear" w:color="auto" w:fill="F8FBC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47,29</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41,76</w:t>
            </w:r>
          </w:p>
        </w:tc>
        <w:tc>
          <w:tcPr>
            <w:tcBorders>
              <w:bottom w:val="none" w:sz="0" w:space="0" w:color="000000"/>
              <w:top w:val="none" w:sz="0" w:space="0" w:color="000000"/>
              <w:left w:val="none" w:sz="0" w:space="0" w:color="000000"/>
              <w:right w:val="none" w:sz="0" w:space="0" w:color="000000"/>
            </w:tcBorders>
            <w:shd w:val="clear" w:color="auto" w:fill="F3FB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40,45</w:t>
            </w:r>
          </w:p>
        </w:tc>
        <w:tc>
          <w:tcPr>
            <w:tcBorders>
              <w:bottom w:val="none" w:sz="0" w:space="0" w:color="000000"/>
              <w:top w:val="none" w:sz="0" w:space="0" w:color="000000"/>
              <w:left w:val="none" w:sz="0" w:space="0" w:color="000000"/>
              <w:right w:val="single" w:sz="8" w:space="0" w:color="666666"/>
            </w:tcBorders>
            <w:shd w:val="clear" w:color="auto" w:fill="EDFB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34,28</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16,82</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13,60</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E1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19,56</w:t>
            </w:r>
          </w:p>
        </w:tc>
        <w:tc>
          <w:tcPr>
            <w:tcBorders>
              <w:bottom w:val="none" w:sz="0" w:space="0" w:color="000000"/>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16,78</w:t>
            </w:r>
          </w:p>
        </w:tc>
        <w:tc>
          <w:tcPr>
            <w:tcBorders>
              <w:bottom w:val="none" w:sz="0" w:space="0" w:color="000000"/>
              <w:top w:val="none" w:sz="0" w:space="0" w:color="000000"/>
              <w:left w:val="none" w:sz="0" w:space="0" w:color="000000"/>
              <w:right w:val="single" w:sz="8" w:space="0" w:color="666666"/>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17,52</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128,97</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DE0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70,16</w:t>
            </w:r>
          </w:p>
        </w:tc>
        <w:tc>
          <w:tcPr>
            <w:tcBorders>
              <w:bottom w:val="none" w:sz="0" w:space="0" w:color="000000"/>
              <w:top w:val="none" w:sz="0" w:space="0" w:color="000000"/>
              <w:left w:val="none" w:sz="0" w:space="0" w:color="000000"/>
              <w:right w:val="none" w:sz="0" w:space="0" w:color="000000"/>
            </w:tcBorders>
            <w:shd w:val="clear" w:color="auto" w:fill="E3FC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143,16</w:t>
            </w:r>
          </w:p>
        </w:tc>
        <w:tc>
          <w:tcPr>
            <w:tcBorders>
              <w:bottom w:val="none" w:sz="0" w:space="0" w:color="000000"/>
              <w:top w:val="none" w:sz="0" w:space="0" w:color="000000"/>
              <w:left w:val="none" w:sz="0" w:space="0" w:color="000000"/>
              <w:right w:val="none" w:sz="0" w:space="0" w:color="000000"/>
            </w:tcBorders>
            <w:shd w:val="clear" w:color="auto" w:fill="FFC8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124,63</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108,33</w:t>
            </w:r>
          </w:p>
        </w:tc>
        <w:tc>
          <w:tcPr>
            <w:tcBorders>
              <w:bottom w:val="none" w:sz="0" w:space="0" w:color="000000"/>
              <w:top w:val="none" w:sz="0" w:space="0" w:color="000000"/>
              <w:left w:val="none" w:sz="0" w:space="0" w:color="000000"/>
              <w:right w:val="single" w:sz="8" w:space="0" w:color="666666"/>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99,67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104,18</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89,48</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69,34</w:t>
            </w:r>
          </w:p>
        </w:tc>
        <w:tc>
          <w:tcPr>
            <w:tcBorders>
              <w:bottom w:val="none" w:sz="0" w:space="0" w:color="000000"/>
              <w:top w:val="none" w:sz="0" w:space="0" w:color="000000"/>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21,39</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108,59</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97,94</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88,66</w:t>
            </w:r>
          </w:p>
        </w:tc>
        <w:tc>
          <w:tcPr>
            <w:tcBorders>
              <w:bottom w:val="none" w:sz="0" w:space="0" w:color="000000"/>
              <w:top w:val="none" w:sz="0" w:space="0" w:color="000000"/>
              <w:left w:val="none" w:sz="0" w:space="0" w:color="000000"/>
              <w:right w:val="single" w:sz="8" w:space="0" w:color="666666"/>
            </w:tcBorders>
            <w:shd w:val="clear" w:color="auto" w:fill="FEDE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80,15</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D3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83,28</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73,07</w:t>
            </w:r>
          </w:p>
        </w:tc>
        <w:tc>
          <w:tcPr>
            <w:tcBorders>
              <w:bottom w:val="none" w:sz="0" w:space="0" w:color="000000"/>
              <w:top w:val="none" w:sz="0" w:space="0" w:color="000000"/>
              <w:left w:val="none" w:sz="0" w:space="0" w:color="000000"/>
              <w:right w:val="none" w:sz="0" w:space="0" w:color="000000"/>
            </w:tcBorders>
            <w:shd w:val="clear" w:color="auto" w:fill="FBED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56,81</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23,68</w:t>
            </w:r>
          </w:p>
        </w:tc>
        <w:tc>
          <w:tcPr>
            <w:tcBorders>
              <w:bottom w:val="none" w:sz="0" w:space="0" w:color="000000"/>
              <w:top w:val="none" w:sz="0" w:space="0" w:color="000000"/>
              <w:left w:val="none" w:sz="0" w:space="0" w:color="000000"/>
              <w:right w:val="none" w:sz="0" w:space="0" w:color="000000"/>
            </w:tcBorders>
            <w:shd w:val="clear" w:color="auto" w:fill="FED7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87,78</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81,76</w:t>
            </w:r>
          </w:p>
        </w:tc>
        <w:tc>
          <w:tcPr>
            <w:tcBorders>
              <w:bottom w:val="none" w:sz="0" w:space="0" w:color="000000"/>
              <w:top w:val="none" w:sz="0" w:space="0" w:color="000000"/>
              <w:left w:val="none" w:sz="0" w:space="0" w:color="000000"/>
              <w:right w:val="none" w:sz="0" w:space="0" w:color="000000"/>
            </w:tcBorders>
            <w:shd w:val="clear" w:color="auto" w:fill="FDE1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77,20</w:t>
            </w:r>
          </w:p>
        </w:tc>
        <w:tc>
          <w:tcPr>
            <w:tcBorders>
              <w:bottom w:val="none" w:sz="0" w:space="0" w:color="000000"/>
              <w:top w:val="none" w:sz="0" w:space="0" w:color="000000"/>
              <w:left w:val="none" w:sz="0" w:space="0" w:color="000000"/>
              <w:right w:val="single" w:sz="8" w:space="0" w:color="666666"/>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81,39</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96,40</w:t>
            </w:r>
          </w:p>
        </w:tc>
        <w:tc>
          <w:tcPr>
            <w:tcBorders>
              <w:bottom w:val="none" w:sz="0" w:space="0" w:color="000000"/>
              <w:top w:val="none" w:sz="0" w:space="0" w:color="000000"/>
              <w:left w:val="none" w:sz="0" w:space="0" w:color="000000"/>
              <w:right w:val="none" w:sz="0" w:space="0" w:color="000000"/>
            </w:tcBorders>
            <w:shd w:val="clear" w:color="auto" w:fill="FFCD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96,84</w:t>
            </w:r>
          </w:p>
        </w:tc>
        <w:tc>
          <w:tcPr>
            <w:tcBorders>
              <w:bottom w:val="none" w:sz="0" w:space="0" w:color="000000"/>
              <w:top w:val="none" w:sz="0" w:space="0" w:color="000000"/>
              <w:left w:val="none" w:sz="0" w:space="0" w:color="000000"/>
              <w:right w:val="none" w:sz="0" w:space="0" w:color="000000"/>
            </w:tcBorders>
            <w:shd w:val="clear" w:color="auto" w:fill="FED9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77,58</w:t>
            </w:r>
          </w:p>
        </w:tc>
        <w:tc>
          <w:tcPr>
            <w:tcBorders>
              <w:bottom w:val="none" w:sz="0" w:space="0" w:color="000000"/>
              <w:top w:val="none" w:sz="0" w:space="0" w:color="000000"/>
              <w:left w:val="none" w:sz="0" w:space="0" w:color="000000"/>
              <w:right w:val="none" w:sz="0" w:space="0" w:color="000000"/>
            </w:tcBorders>
            <w:shd w:val="clear" w:color="auto" w:fill="E7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23,99</w:t>
            </w:r>
          </w:p>
        </w:tc>
        <w:tc>
          <w:tcPr>
            <w:tcBorders>
              <w:bottom w:val="none" w:sz="0" w:space="0" w:color="000000"/>
              <w:top w:val="none" w:sz="0" w:space="0" w:color="000000"/>
              <w:left w:val="none" w:sz="0" w:space="0" w:color="000000"/>
              <w:right w:val="none" w:sz="0" w:space="0" w:color="000000"/>
            </w:tcBorders>
            <w:shd w:val="clear" w:color="auto" w:fill="FFCA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116,68</w:t>
            </w:r>
          </w:p>
        </w:tc>
        <w:tc>
          <w:tcPr>
            <w:tcBorders>
              <w:bottom w:val="none" w:sz="0" w:space="0" w:color="000000"/>
              <w:top w:val="none" w:sz="0" w:space="0" w:color="000000"/>
              <w:left w:val="none" w:sz="0" w:space="0" w:color="000000"/>
              <w:right w:val="none" w:sz="0" w:space="0" w:color="000000"/>
            </w:tcBorders>
            <w:shd w:val="clear" w:color="auto" w:fill="FFC6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131,86</w:t>
            </w:r>
          </w:p>
        </w:tc>
        <w:tc>
          <w:tcPr>
            <w:tcBorders>
              <w:bottom w:val="none" w:sz="0" w:space="0" w:color="000000"/>
              <w:top w:val="none" w:sz="0" w:space="0" w:color="000000"/>
              <w:left w:val="none" w:sz="0" w:space="0" w:color="000000"/>
              <w:right w:val="none" w:sz="0" w:space="0" w:color="000000"/>
            </w:tcBorders>
            <w:shd w:val="clear" w:color="auto" w:fill="FFC5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135,94</w:t>
            </w:r>
          </w:p>
        </w:tc>
        <w:tc>
          <w:tcPr>
            <w:tcBorders>
              <w:bottom w:val="none" w:sz="0" w:space="0" w:color="000000"/>
              <w:top w:val="none" w:sz="0" w:space="0" w:color="000000"/>
              <w:left w:val="none" w:sz="0" w:space="0" w:color="000000"/>
              <w:right w:val="single" w:sz="8" w:space="0" w:color="666666"/>
            </w:tcBorders>
            <w:shd w:val="clear" w:color="auto" w:fill="FFC4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140,61</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76,19</w:t>
            </w:r>
          </w:p>
        </w:tc>
        <w:tc>
          <w:tcPr>
            <w:tcBorders>
              <w:bottom w:val="none" w:sz="0" w:space="0" w:color="000000"/>
              <w:top w:val="none" w:sz="0" w:space="0" w:color="000000"/>
              <w:left w:val="none" w:sz="0" w:space="0" w:color="000000"/>
              <w:right w:val="none" w:sz="0" w:space="0" w:color="000000"/>
            </w:tcBorders>
            <w:shd w:val="clear" w:color="auto" w:fill="FDE6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63,98</w:t>
            </w:r>
          </w:p>
        </w:tc>
        <w:tc>
          <w:tcPr>
            <w:tcBorders>
              <w:bottom w:val="none" w:sz="0" w:space="0" w:color="000000"/>
              <w:top w:val="none" w:sz="0" w:space="0" w:color="000000"/>
              <w:left w:val="none" w:sz="0" w:space="0" w:color="000000"/>
              <w:right w:val="none" w:sz="0" w:space="0" w:color="000000"/>
            </w:tcBorders>
            <w:shd w:val="clear" w:color="auto" w:fill="FBEE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55,93</w:t>
            </w:r>
          </w:p>
        </w:tc>
        <w:tc>
          <w:tcPr>
            <w:tcBorders>
              <w:bottom w:val="none" w:sz="0" w:space="0" w:color="000000"/>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14,93</w:t>
            </w:r>
          </w:p>
        </w:tc>
        <w:tc>
          <w:tcPr>
            <w:tcBorders>
              <w:bottom w:val="none" w:sz="0" w:space="0" w:color="000000"/>
              <w:top w:val="none" w:sz="0" w:space="0" w:color="000000"/>
              <w:left w:val="none" w:sz="0" w:space="0" w:color="000000"/>
              <w:right w:val="none" w:sz="0" w:space="0" w:color="000000"/>
            </w:tcBorders>
            <w:shd w:val="clear" w:color="auto" w:fill="FED8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86,71</w:t>
            </w:r>
          </w:p>
        </w:tc>
        <w:tc>
          <w:tcPr>
            <w:tcBorders>
              <w:bottom w:val="none" w:sz="0" w:space="0" w:color="000000"/>
              <w:top w:val="none" w:sz="0" w:space="0" w:color="000000"/>
              <w:left w:val="none" w:sz="0" w:space="0" w:color="000000"/>
              <w:right w:val="none" w:sz="0" w:space="0" w:color="000000"/>
            </w:tcBorders>
            <w:shd w:val="clear" w:color="auto" w:fill="FEDD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81,91</w:t>
            </w:r>
          </w:p>
        </w:tc>
        <w:tc>
          <w:tcPr>
            <w:tcBorders>
              <w:bottom w:val="none" w:sz="0" w:space="0" w:color="000000"/>
              <w:top w:val="none" w:sz="0" w:space="0" w:color="000000"/>
              <w:left w:val="none" w:sz="0" w:space="0" w:color="000000"/>
              <w:right w:val="none" w:sz="0" w:space="0" w:color="000000"/>
            </w:tcBorders>
            <w:shd w:val="clear" w:color="auto" w:fill="FFD4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92,00</w:t>
            </w:r>
          </w:p>
        </w:tc>
        <w:tc>
          <w:tcPr>
            <w:tcBorders>
              <w:bottom w:val="none" w:sz="0" w:space="0" w:color="000000"/>
              <w:top w:val="none" w:sz="0" w:space="0" w:color="000000"/>
              <w:left w:val="none" w:sz="0" w:space="0" w:color="000000"/>
              <w:right w:val="single" w:sz="8" w:space="0" w:color="666666"/>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98,83</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53,22</w:t>
            </w:r>
          </w:p>
        </w:tc>
        <w:tc>
          <w:tcPr>
            <w:tcBorders>
              <w:bottom w:val="none" w:sz="0" w:space="0" w:color="000000"/>
              <w:top w:val="none" w:sz="0" w:space="0" w:color="000000"/>
              <w:left w:val="none" w:sz="0" w:space="0" w:color="000000"/>
              <w:right w:val="none" w:sz="0" w:space="0" w:color="000000"/>
            </w:tcBorders>
            <w:shd w:val="clear" w:color="auto" w:fill="FAF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50,74</w:t>
            </w:r>
          </w:p>
        </w:tc>
        <w:tc>
          <w:tcPr>
            <w:tcBorders>
              <w:bottom w:val="none" w:sz="0" w:space="0" w:color="000000"/>
              <w:top w:val="none" w:sz="0" w:space="0" w:color="000000"/>
              <w:left w:val="none" w:sz="0" w:space="0" w:color="000000"/>
              <w:right w:val="none" w:sz="0" w:space="0" w:color="000000"/>
            </w:tcBorders>
            <w:shd w:val="clear" w:color="auto" w:fill="F4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38,21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8,54</w:t>
            </w:r>
          </w:p>
        </w:tc>
        <w:tc>
          <w:tcPr>
            <w:tcBorders>
              <w:bottom w:val="none" w:sz="0" w:space="0" w:color="000000"/>
              <w:top w:val="none" w:sz="0" w:space="0" w:color="000000"/>
              <w:left w:val="none" w:sz="0" w:space="0" w:color="000000"/>
              <w:right w:val="none" w:sz="0" w:space="0" w:color="000000"/>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59,29</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61,41</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61,07</w:t>
            </w:r>
          </w:p>
        </w:tc>
        <w:tc>
          <w:tcPr>
            <w:tcBorders>
              <w:bottom w:val="none" w:sz="0" w:space="0" w:color="000000"/>
              <w:top w:val="none" w:sz="0" w:space="0" w:color="000000"/>
              <w:left w:val="none" w:sz="0" w:space="0" w:color="000000"/>
              <w:right w:val="single" w:sz="8" w:space="0" w:color="666666"/>
            </w:tcBorders>
            <w:shd w:val="clear" w:color="auto" w:fill="FBF1C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58,99</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89,74</w:t>
            </w:r>
          </w:p>
        </w:tc>
        <w:tc>
          <w:tcPr>
            <w:tcBorders>
              <w:bottom w:val="none" w:sz="0" w:space="0" w:color="000000"/>
              <w:top w:val="none" w:sz="0" w:space="0" w:color="000000"/>
              <w:left w:val="none" w:sz="0" w:space="0" w:color="000000"/>
              <w:right w:val="none" w:sz="0" w:space="0" w:color="000000"/>
            </w:tcBorders>
            <w:shd w:val="clear" w:color="auto" w:fill="FDE3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67,46</w:t>
            </w:r>
          </w:p>
        </w:tc>
        <w:tc>
          <w:tcPr>
            <w:tcBorders>
              <w:bottom w:val="none" w:sz="0" w:space="0" w:color="000000"/>
              <w:top w:val="none" w:sz="0" w:space="0" w:color="000000"/>
              <w:left w:val="none" w:sz="0" w:space="0" w:color="000000"/>
              <w:right w:val="none" w:sz="0" w:space="0" w:color="000000"/>
            </w:tcBorders>
            <w:shd w:val="clear" w:color="auto" w:fill="F5FBC4"/>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8,29</w:t>
            </w:r>
          </w:p>
        </w:tc>
        <w:tc>
          <w:tcPr>
            <w:tcBorders>
              <w:bottom w:val="none" w:sz="0" w:space="0" w:color="000000"/>
              <w:top w:val="none" w:sz="0" w:space="0" w:color="000000"/>
              <w:left w:val="none" w:sz="0" w:space="0" w:color="000000"/>
              <w:right w:val="none" w:sz="0" w:space="0" w:color="000000"/>
            </w:tcBorders>
            <w:shd w:val="clear" w:color="auto" w:fill="FFCF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100,27</w:t>
            </w:r>
          </w:p>
        </w:tc>
        <w:tc>
          <w:tcPr>
            <w:tcBorders>
              <w:bottom w:val="none" w:sz="0" w:space="0" w:color="000000"/>
              <w:top w:val="none" w:sz="0" w:space="0" w:color="000000"/>
              <w:left w:val="none" w:sz="0" w:space="0" w:color="000000"/>
              <w:right w:val="none" w:sz="0" w:space="0" w:color="000000"/>
            </w:tcBorders>
            <w:shd w:val="clear" w:color="auto" w:fill="FEDA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85,13</w:t>
            </w:r>
          </w:p>
        </w:tc>
        <w:tc>
          <w:tcPr>
            <w:tcBorders>
              <w:bottom w:val="none" w:sz="0" w:space="0" w:color="000000"/>
              <w:top w:val="none" w:sz="0" w:space="0" w:color="000000"/>
              <w:left w:val="none" w:sz="0" w:space="0" w:color="000000"/>
              <w:right w:val="none" w:sz="0" w:space="0" w:color="000000"/>
            </w:tcBorders>
            <w:shd w:val="clear" w:color="auto" w:fill="FDE5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72,51</w:t>
            </w:r>
          </w:p>
        </w:tc>
        <w:tc>
          <w:tcPr>
            <w:tcBorders>
              <w:bottom w:val="none" w:sz="0" w:space="0" w:color="000000"/>
              <w:top w:val="none" w:sz="0" w:space="0" w:color="000000"/>
              <w:left w:val="none" w:sz="0" w:space="0" w:color="000000"/>
              <w:right w:val="single" w:sz="8" w:space="0" w:color="666666"/>
            </w:tcBorders>
            <w:shd w:val="clear" w:color="auto" w:fill="FDE4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73,72</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E6FC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23,57</w:t>
            </w:r>
          </w:p>
        </w:tc>
        <w:tc>
          <w:tcPr>
            <w:tcBorders>
              <w:bottom w:val="single" w:sz="8" w:space="0" w:color="666666"/>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15,02</w:t>
            </w:r>
          </w:p>
        </w:tc>
        <w:tc>
          <w:tcPr>
            <w:tcBorders>
              <w:bottom w:val="single" w:sz="8" w:space="0" w:color="666666"/>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14,98</w:t>
            </w:r>
          </w:p>
        </w:tc>
        <w:tc>
          <w:tcPr>
            <w:tcBorders>
              <w:bottom w:val="single" w:sz="8" w:space="0" w:color="666666"/>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6,05</w:t>
            </w:r>
          </w:p>
        </w:tc>
        <w:tc>
          <w:tcPr>
            <w:tcBorders>
              <w:bottom w:val="single" w:sz="8" w:space="0" w:color="666666"/>
              <w:top w:val="none" w:sz="0" w:space="0" w:color="000000"/>
              <w:left w:val="none" w:sz="0" w:space="0" w:color="000000"/>
              <w:right w:val="none" w:sz="0" w:space="0" w:color="000000"/>
            </w:tcBorders>
            <w:shd w:val="clear" w:color="auto" w:fill="E5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24,80</w:t>
            </w:r>
          </w:p>
        </w:tc>
        <w:tc>
          <w:tcPr>
            <w:tcBorders>
              <w:bottom w:val="single" w:sz="8" w:space="0" w:color="666666"/>
              <w:top w:val="none" w:sz="0" w:space="0" w:color="000000"/>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16,88</w:t>
            </w:r>
          </w:p>
        </w:tc>
        <w:tc>
          <w:tcPr>
            <w:tcBorders>
              <w:bottom w:val="single" w:sz="8" w:space="0" w:color="666666"/>
              <w:top w:val="none" w:sz="0" w:space="0" w:color="000000"/>
              <w:left w:val="none" w:sz="0" w:space="0" w:color="000000"/>
              <w:right w:val="none" w:sz="0" w:space="0" w:color="000000"/>
            </w:tcBorders>
            <w:shd w:val="clear" w:color="auto" w:fill="DF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18,10</w:t>
            </w:r>
          </w:p>
        </w:tc>
        <w:tc>
          <w:tcPr>
            <w:tcBorders>
              <w:bottom w:val="single" w:sz="8" w:space="0" w:color="666666"/>
              <w:top w:val="none" w:sz="0" w:space="0" w:color="000000"/>
              <w:left w:val="none" w:sz="0" w:space="0" w:color="000000"/>
              <w:right w:val="single" w:sz="8" w:space="0" w:color="666666"/>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15,87</w:t>
            </w:r>
          </w:p>
        </w:tc>
      </w:tr>
    </w:tbl>
    <w:p>
      <w:pPr>
        <w:pStyle w:val="Normal"/>
      </w:pPr>
      <w:r>
        <w:t xml:space="preserve">De acordo com a figura 7, do total de 450 regionais, 6 estão com alta incidência e continuam subindo, 0 estão com alta, porém estável, 87 estão com alta, mas em queda e 280 estão com baixa ou moderada incidência de dengue.</w:t>
      </w:r>
    </w:p>
    <w:p>
      <w:pPr>
        <w:pStyle w:val="Normal"/>
      </w:pPr>
      <w:r>
        <w:drawing>
          <wp:inline>
            <wp:extent cx="5943600" cy="5943600"/>
            <wp:effectExtent b="0" l="0" r="0" t="0"/>
            <wp:docPr descr="" title="" id="45" name="Picture"/>
            <a:graphic>
              <a:graphicData uri="http://schemas.openxmlformats.org/drawingml/2006/picture">
                <pic:pic>
                  <pic:nvPicPr>
                    <pic:cNvPr descr="report/outputs/boletins_nacionais/Informe_Infodengue_SE202522_files/figure-docx/unnamed-chunk-21-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pStyle w:val="Normal"/>
      </w:pPr>
      <w:r>
        <w:rPr>
          <w:b/>
          <w:bCs/>
        </w:rPr>
        <w:t xml:space="preserve">Figura 7.</w:t>
      </w:r>
      <w:r>
        <w:t xml:space="preserve"> </w:t>
      </w:r>
      <w:r>
        <w:t xml:space="preserve">Regionais de saúde que a incidência de dengue esta em tendência de alta em subida (vermelho), alto estável (laranja), alto em queda (amarelo) e baixo ou moderado (verde).</w:t>
      </w:r>
    </w:p>
    <w:bookmarkEnd w:id="47"/>
    <w:bookmarkStart w:id="51" w:name="X3d802f3544f38f6e978d53241eaa841621dc7e1"/>
    <w:p>
      <w:pPr>
        <w:pStyle w:val="Ttulo2"/>
      </w:pPr>
      <w:r>
        <w:rPr>
          <w:b/>
          <w:bCs/>
        </w:rPr>
        <w:t xml:space="preserve">Análise de tendência de crescimento de casos de chikungunya</w:t>
      </w:r>
    </w:p>
    <w:p>
      <w:pPr>
        <w:pStyle w:val="Normal"/>
      </w:pPr>
      <w:r>
        <w:t xml:space="preserve">A tabela 3 apresenta um panorama sobre a tendência da incidência de chikungunya para casos notificados e estimados em todo o país até a semana 22. As</w:t>
      </w:r>
      <w:r>
        <w:t xml:space="preserve"> </w:t>
      </w:r>
      <w:r>
        <w:rPr>
          <w:b/>
          <w:bCs/>
        </w:rPr>
        <w:t xml:space="preserve">setas</w:t>
      </w:r>
      <w:r>
        <w:t xml:space="preserve"> </w:t>
      </w:r>
      <w:r>
        <w:t xml:space="preserve">indicam se os casos estão crescendo ou decrescendo significativamente.</w:t>
      </w:r>
    </w:p>
    <w:p>
      <w:pPr>
        <w:pStyle w:val="Normal"/>
      </w:pPr>
      <w:r>
        <w:rPr>
          <w:b/>
          <w:bCs/>
        </w:rPr>
        <w:t xml:space="preserve">Norte:</w:t>
      </w:r>
      <w:r>
        <w:t xml:space="preserve"> </w:t>
      </w:r>
      <w:r>
        <w:t xml:space="preserve">Todos os estados, exceto RO e AM, estão com número reprodutivo acima de 1. Dentre esses, chama atenção um potencial aumento no Amapá. O AC encontra-se em atenção também pois todas as regionais estão com alta notificação.</w:t>
      </w:r>
    </w:p>
    <w:p>
      <w:pPr>
        <w:pStyle w:val="Normal"/>
      </w:pPr>
      <w:r>
        <w:rPr>
          <w:b/>
          <w:bCs/>
        </w:rPr>
        <w:t xml:space="preserve">Nordeste:</w:t>
      </w:r>
      <w:r>
        <w:t xml:space="preserve"> </w:t>
      </w:r>
      <w:r>
        <w:t xml:space="preserve">Alguns estados com crescimento moderado (CE, RN, MA). Considerando as baixas incidências, não reconhecemos como preocupação por enquanto.</w:t>
      </w:r>
    </w:p>
    <w:p>
      <w:pPr>
        <w:pStyle w:val="Normal"/>
      </w:pPr>
      <w:r>
        <w:rPr>
          <w:b/>
          <w:bCs/>
        </w:rPr>
        <w:t xml:space="preserve">Centro-Oeste:</w:t>
      </w:r>
      <w:r>
        <w:t xml:space="preserve"> </w:t>
      </w:r>
      <w:r>
        <w:t xml:space="preserve">Dois estados com as maiores taxas de crescimento do país, MS e MT, com Rt acima de 2. GO e DF também com expectativa de crescimento, mas mais moderado. Em MT, o crescimento está concentrado nas regiões Centro-Noroeste e Sul.</w:t>
      </w:r>
    </w:p>
    <w:p>
      <w:pPr>
        <w:pStyle w:val="Normal"/>
      </w:pPr>
      <w:r>
        <w:rPr>
          <w:b/>
          <w:bCs/>
        </w:rPr>
        <w:t xml:space="preserve">Sudeste:</w:t>
      </w:r>
      <w:r>
        <w:t xml:space="preserve"> </w:t>
      </w:r>
      <w:r>
        <w:t xml:space="preserve">Todos os estados com Rt maior que 1, com maiores taxas em SP e MG, com Rt = 1,4 e 1,6, respectivamente.</w:t>
      </w:r>
    </w:p>
    <w:p>
      <w:pPr>
        <w:pStyle w:val="Normal"/>
      </w:pPr>
      <w:r>
        <w:rPr>
          <w:b/>
          <w:bCs/>
        </w:rPr>
        <w:t xml:space="preserve">Sul:</w:t>
      </w:r>
      <w:r>
        <w:t xml:space="preserve"> </w:t>
      </w:r>
      <w:r>
        <w:t xml:space="preserve">Apenas PR com número reprodutivo moderado (Rt = 1,3).</w:t>
      </w:r>
    </w:p>
    <w:p>
      <w:r>
        <w:br w:type="page"/>
      </w:r>
    </w:p>
    <w:p>
      <w:pPr>
        <w:pStyle w:val="Corpodetexto"/>
      </w:pPr>
      <w:r>
        <w:rPr>
          <w:b/>
          <w:bCs/>
        </w:rPr>
        <w:t xml:space="preserve">Tabela 3.</w:t>
      </w:r>
      <w:r>
        <w:t xml:space="preserve"> </w:t>
      </w:r>
      <w:r>
        <w:t xml:space="preserve">Situação dos estados em relação à notificação dos casos de chikungunya em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
            </w:r>
          </w:p>
        </w:tc>
        <w:tc>
          <w:tcPr>
            <w:gridSpan w:val="4"/>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observada</w:t>
            </w:r>
          </w:p>
        </w:tc>
        <w:tc>
          <w:tcPr>
            <w:gridSpan w:val="4"/>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Incidência estimada</w:t>
            </w:r>
          </w:p>
        </w:tc>
      </w:tr>
      <w:tr>
        <w:trPr>
          <w:trHeight w:val="360" w:hRule="auto"/>
          <w:tblHeader/>
        </w:trPr>
        header 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UF</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19</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20</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21</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22</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single" w:sz="8" w:space="0" w:color="666666"/>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7,67</w:t>
            </w:r>
          </w:p>
        </w:tc>
        <w:tc>
          <w:tcPr>
            <w:tcBorders>
              <w:bottom w:val="none" w:sz="0" w:space="0" w:color="000000"/>
              <w:top w:val="single" w:sz="8" w:space="0" w:color="666666"/>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single" w:sz="8" w:space="0" w:color="666666"/>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c>
          <w:tcPr>
            <w:tcBorders>
              <w:bottom w:val="none" w:sz="0" w:space="0" w:color="000000"/>
              <w:top w:val="single" w:sz="8" w:space="0" w:color="666666"/>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single" w:sz="8" w:space="0" w:color="666666"/>
              <w:left w:val="none" w:sz="0" w:space="0" w:color="000000"/>
              <w:right w:val="none" w:sz="0" w:space="0" w:color="000000"/>
            </w:tcBorders>
            <w:shd w:val="clear" w:color="auto" w:fill="E4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12,87</w:t>
            </w:r>
          </w:p>
        </w:tc>
        <w:tc>
          <w:tcPr>
            <w:tcBorders>
              <w:bottom w:val="none" w:sz="0" w:space="0" w:color="000000"/>
              <w:top w:val="single" w:sz="8" w:space="0" w:color="666666"/>
              <w:left w:val="none" w:sz="0" w:space="0" w:color="000000"/>
              <w:right w:val="none" w:sz="0" w:space="0" w:color="000000"/>
            </w:tcBorders>
            <w:shd w:val="clear" w:color="auto" w:fill="DE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9,13</w:t>
            </w:r>
          </w:p>
        </w:tc>
        <w:tc>
          <w:tcPr>
            <w:tcBorders>
              <w:bottom w:val="none" w:sz="0" w:space="0" w:color="000000"/>
              <w:top w:val="single" w:sz="8" w:space="0" w:color="666666"/>
              <w:left w:val="none" w:sz="0" w:space="0" w:color="000000"/>
              <w:right w:val="none" w:sz="0" w:space="0" w:color="000000"/>
            </w:tcBorders>
            <w:shd w:val="clear" w:color="auto" w:fill="E0FC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10,12</w:t>
            </w:r>
          </w:p>
        </w:tc>
        <w:tc>
          <w:tcPr>
            <w:tcBorders>
              <w:bottom w:val="none" w:sz="0" w:space="0" w:color="000000"/>
              <w:top w:val="single" w:sz="8" w:space="0" w:color="666666"/>
              <w:left w:val="none" w:sz="0" w:space="0" w:color="000000"/>
              <w:right w:val="single" w:sz="8" w:space="0" w:color="666666"/>
            </w:tcBorders>
            <w:shd w:val="clear" w:color="auto" w:fill="E6FC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13,73</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6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3,09</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1,89</w:t>
            </w:r>
          </w:p>
        </w:tc>
        <w:tc>
          <w:tcPr>
            <w:tcBorders>
              <w:bottom w:val="none" w:sz="0" w:space="0" w:color="000000"/>
              <w:top w:val="none" w:sz="0" w:space="0" w:color="000000"/>
              <w:left w:val="none" w:sz="0" w:space="0" w:color="000000"/>
              <w:right w:val="single" w:sz="8" w:space="0" w:color="666666"/>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2,59</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0,43</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w:t>
            </w:r>
          </w:p>
        </w:tc>
        <w:tc>
          <w:tcPr>
            <w:tcBorders>
              <w:bottom w:val="none" w:sz="0" w:space="0" w:color="000000"/>
              <w:top w:val="none" w:sz="0" w:space="0" w:color="000000"/>
              <w:left w:val="none" w:sz="0" w:space="0" w:color="000000"/>
              <w:right w:val="single" w:sz="8" w:space="0" w:color="666666"/>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2,08</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2,12</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2,25</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w:t>
            </w:r>
          </w:p>
        </w:tc>
      </w:tr>
      <w:tr>
        <w:trPr>
          <w:trHeight w:val="360" w:hRule="auto"/>
        </w:trPr>
        body13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1,88</w:t>
            </w:r>
          </w:p>
        </w:tc>
      </w:tr>
      <w:tr>
        <w:trPr>
          <w:trHeight w:val="360" w:hRule="auto"/>
        </w:trPr>
        body14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0,96</w:t>
            </w:r>
          </w:p>
        </w:tc>
      </w:tr>
      <w:tr>
        <w:trPr>
          <w:trHeight w:val="360" w:hRule="auto"/>
        </w:trPr>
        body15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0,90</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0,72</w:t>
            </w:r>
          </w:p>
        </w:tc>
      </w:tr>
      <w:tr>
        <w:trPr>
          <w:trHeight w:val="360" w:hRule="auto"/>
        </w:trPr>
        body16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single" w:sz="8" w:space="0" w:color="666666"/>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w:t>
            </w:r>
          </w:p>
        </w:tc>
      </w:tr>
      <w:tr>
        <w:trPr>
          <w:trHeight w:val="360" w:hRule="auto"/>
        </w:trPr>
        body18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9FCBA"/>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5,23</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4,93</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4,09</w:t>
            </w:r>
          </w:p>
        </w:tc>
        <w:tc>
          <w:tcPr>
            <w:tcBorders>
              <w:bottom w:val="none" w:sz="0" w:space="0" w:color="000000"/>
              <w:top w:val="none" w:sz="0" w:space="0" w:color="000000"/>
              <w:left w:val="none" w:sz="0" w:space="0" w:color="000000"/>
              <w:right w:val="single" w:sz="8" w:space="0" w:color="666666"/>
            </w:tcBorders>
            <w:shd w:val="clear" w:color="auto" w:fill="D8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5,11</w:t>
            </w:r>
          </w:p>
        </w:tc>
      </w:tr>
      <w:tr>
        <w:trPr>
          <w:trHeight w:val="360" w:hRule="auto"/>
        </w:trPr>
        body19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0,42</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0,36</w:t>
            </w:r>
          </w:p>
        </w:tc>
      </w:tr>
      <w:tr>
        <w:trPr>
          <w:trHeight w:val="360" w:hRule="auto"/>
        </w:trPr>
        body20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w:t>
            </w:r>
          </w:p>
        </w:tc>
        <w:tc>
          <w:tcPr>
            <w:tcBorders>
              <w:bottom w:val="none" w:sz="0" w:space="0" w:color="000000"/>
              <w:top w:val="none" w:sz="0" w:space="0" w:color="000000"/>
              <w:left w:val="none" w:sz="0" w:space="0" w:color="000000"/>
              <w:right w:val="single" w:sz="8" w:space="0" w:color="666666"/>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1,07</w:t>
            </w:r>
          </w:p>
        </w:tc>
      </w:tr>
      <w:tr>
        <w:trPr>
          <w:trHeight w:val="360" w:hRule="auto"/>
        </w:trPr>
        body21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D4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3,85</w:t>
            </w:r>
          </w:p>
        </w:tc>
        <w:tc>
          <w:tcPr>
            <w:tcBorders>
              <w:bottom w:val="none" w:sz="0" w:space="0" w:color="000000"/>
              <w:top w:val="none" w:sz="0" w:space="0" w:color="000000"/>
              <w:left w:val="none" w:sz="0" w:space="0" w:color="000000"/>
              <w:right w:val="none" w:sz="0" w:space="0" w:color="000000"/>
            </w:tcBorders>
            <w:shd w:val="clear" w:color="auto" w:fill="D5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3,74</w:t>
            </w:r>
          </w:p>
        </w:tc>
        <w:tc>
          <w:tcPr>
            <w:tcBorders>
              <w:bottom w:val="none" w:sz="0" w:space="0" w:color="000000"/>
              <w:top w:val="none" w:sz="0" w:space="0" w:color="000000"/>
              <w:left w:val="none" w:sz="0" w:space="0" w:color="000000"/>
              <w:right w:val="none" w:sz="0" w:space="0" w:color="000000"/>
            </w:tcBorders>
            <w:shd w:val="clear" w:color="auto" w:fill="D6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4,08</w:t>
            </w:r>
          </w:p>
        </w:tc>
        <w:tc>
          <w:tcPr>
            <w:tcBorders>
              <w:bottom w:val="none" w:sz="0" w:space="0" w:color="000000"/>
              <w:top w:val="none" w:sz="0" w:space="0" w:color="000000"/>
              <w:left w:val="none" w:sz="0" w:space="0" w:color="000000"/>
              <w:right w:val="single" w:sz="8" w:space="0" w:color="666666"/>
            </w:tcBorders>
            <w:shd w:val="clear" w:color="auto" w:fill="D7FCB9"/>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w:t>
            </w:r>
          </w:p>
        </w:tc>
      </w:tr>
      <w:tr>
        <w:trPr>
          <w:trHeight w:val="360" w:hRule="auto"/>
        </w:trPr>
        body22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w:t>
            </w:r>
          </w:p>
        </w:tc>
      </w:tr>
      <w:tr>
        <w:trPr>
          <w:trHeight w:val="360" w:hRule="auto"/>
        </w:trPr>
        body23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none" w:sz="0" w:space="0" w:color="000000"/>
              <w:top w:val="none" w:sz="0" w:space="0" w:color="000000"/>
              <w:left w:val="none" w:sz="0" w:space="0" w:color="000000"/>
              <w:right w:val="none" w:sz="0" w:space="0" w:color="000000"/>
            </w:tcBorders>
            <w:shd w:val="clear" w:color="auto" w:fill="D0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0,38</w:t>
            </w:r>
          </w:p>
        </w:tc>
        <w:tc>
          <w:tcPr>
            <w:tcBorders>
              <w:bottom w:val="none" w:sz="0" w:space="0" w:color="000000"/>
              <w:top w:val="none" w:sz="0" w:space="0" w:color="000000"/>
              <w:left w:val="none" w:sz="0" w:space="0" w:color="000000"/>
              <w:right w:val="single" w:sz="8" w:space="0" w:color="666666"/>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r>
      <w:tr>
        <w:trPr>
          <w:trHeight w:val="360" w:hRule="auto"/>
        </w:trPr>
        body24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65,43</w:t>
            </w:r>
          </w:p>
        </w:tc>
        <w:tc>
          <w:tcPr>
            <w:tcBorders>
              <w:bottom w:val="none" w:sz="0" w:space="0" w:color="000000"/>
              <w:top w:val="none" w:sz="0" w:space="0" w:color="000000"/>
              <w:left w:val="none" w:sz="0" w:space="0" w:color="000000"/>
              <w:right w:val="none" w:sz="0" w:space="0" w:color="000000"/>
            </w:tcBorders>
            <w:shd w:val="clear" w:color="auto" w:fill="FFCAB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54,13</w:t>
            </w:r>
          </w:p>
        </w:tc>
        <w:tc>
          <w:tcPr>
            <w:tcBorders>
              <w:bottom w:val="none" w:sz="0" w:space="0" w:color="000000"/>
              <w:top w:val="none" w:sz="0" w:space="0" w:color="000000"/>
              <w:left w:val="none" w:sz="0" w:space="0" w:color="000000"/>
              <w:right w:val="none" w:sz="0" w:space="0" w:color="000000"/>
            </w:tcBorders>
            <w:shd w:val="clear" w:color="auto" w:fill="FFCD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49,19</w:t>
            </w:r>
          </w:p>
        </w:tc>
        <w:tc>
          <w:tcPr>
            <w:tcBorders>
              <w:bottom w:val="none" w:sz="0" w:space="0" w:color="000000"/>
              <w:top w:val="none" w:sz="0" w:space="0" w:color="000000"/>
              <w:left w:val="none" w:sz="0" w:space="0" w:color="000000"/>
              <w:right w:val="none" w:sz="0" w:space="0" w:color="000000"/>
            </w:tcBorders>
            <w:shd w:val="clear" w:color="auto" w:fill="E9FCC0"/>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13,37</w:t>
            </w:r>
          </w:p>
        </w:tc>
        <w:tc>
          <w:tcPr>
            <w:tcBorders>
              <w:bottom w:val="none" w:sz="0" w:space="0" w:color="000000"/>
              <w:top w:val="none" w:sz="0" w:space="0" w:color="000000"/>
              <w:left w:val="none" w:sz="0" w:space="0" w:color="000000"/>
              <w:right w:val="none" w:sz="0" w:space="0" w:color="000000"/>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70,21</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62,89</w:t>
            </w:r>
          </w:p>
        </w:tc>
        <w:tc>
          <w:tcPr>
            <w:tcBorders>
              <w:bottom w:val="none" w:sz="0" w:space="0" w:color="000000"/>
              <w:top w:val="none" w:sz="0" w:space="0" w:color="000000"/>
              <w:left w:val="none" w:sz="0" w:space="0" w:color="000000"/>
              <w:right w:val="none" w:sz="0" w:space="0" w:color="000000"/>
            </w:tcBorders>
            <w:shd w:val="clear" w:color="auto" w:fill="FFC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69,52</w:t>
            </w:r>
          </w:p>
        </w:tc>
        <w:tc>
          <w:tcPr>
            <w:tcBorders>
              <w:bottom w:val="none" w:sz="0" w:space="0" w:color="000000"/>
              <w:top w:val="none" w:sz="0" w:space="0" w:color="000000"/>
              <w:left w:val="none" w:sz="0" w:space="0" w:color="000000"/>
              <w:right w:val="single" w:sz="8" w:space="0" w:color="666666"/>
            </w:tcBorders>
            <w:shd w:val="clear" w:color="auto" w:fill="FFC7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70,24</w:t>
            </w:r>
          </w:p>
        </w:tc>
      </w:tr>
      <w:tr>
        <w:trPr>
          <w:trHeight w:val="360" w:hRule="auto"/>
        </w:trPr>
        body25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FFCB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52,98</w:t>
            </w:r>
          </w:p>
        </w:tc>
        <w:tc>
          <w:tcPr>
            <w:tcBorders>
              <w:bottom w:val="none" w:sz="0" w:space="0" w:color="000000"/>
              <w:top w:val="none" w:sz="0" w:space="0" w:color="000000"/>
              <w:left w:val="none" w:sz="0" w:space="0" w:color="000000"/>
              <w:right w:val="none" w:sz="0" w:space="0" w:color="000000"/>
            </w:tcBorders>
            <w:shd w:val="clear" w:color="auto" w:fill="FFD0B5"/>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44,53</w:t>
            </w:r>
          </w:p>
        </w:tc>
        <w:tc>
          <w:tcPr>
            <w:tcBorders>
              <w:bottom w:val="none" w:sz="0" w:space="0" w:color="000000"/>
              <w:top w:val="none" w:sz="0" w:space="0" w:color="000000"/>
              <w:left w:val="none" w:sz="0" w:space="0" w:color="000000"/>
              <w:right w:val="none" w:sz="0" w:space="0" w:color="000000"/>
            </w:tcBorders>
            <w:shd w:val="clear" w:color="auto" w:fill="FBEFC1"/>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28,38</w:t>
            </w:r>
          </w:p>
        </w:tc>
        <w:tc>
          <w:tcPr>
            <w:tcBorders>
              <w:bottom w:val="none" w:sz="0" w:space="0" w:color="000000"/>
              <w:top w:val="none" w:sz="0" w:space="0" w:color="000000"/>
              <w:left w:val="none" w:sz="0" w:space="0" w:color="000000"/>
              <w:right w:val="none" w:sz="0" w:space="0" w:color="000000"/>
            </w:tcBorders>
            <w:shd w:val="clear" w:color="auto" w:fill="DDFCBB"/>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7,19</w:t>
            </w:r>
          </w:p>
        </w:tc>
        <w:tc>
          <w:tcPr>
            <w:tcBorders>
              <w:bottom w:val="none" w:sz="0" w:space="0" w:color="000000"/>
              <w:top w:val="none" w:sz="0" w:space="0" w:color="000000"/>
              <w:left w:val="none" w:sz="0" w:space="0" w:color="000000"/>
              <w:right w:val="none" w:sz="0" w:space="0" w:color="000000"/>
            </w:tcBorders>
            <w:shd w:val="clear" w:color="auto" w:fill="FFC8BD"/>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67,11</w:t>
            </w:r>
          </w:p>
        </w:tc>
        <w:tc>
          <w:tcPr>
            <w:tcBorders>
              <w:bottom w:val="none" w:sz="0" w:space="0" w:color="000000"/>
              <w:top w:val="none" w:sz="0" w:space="0" w:color="000000"/>
              <w:left w:val="none" w:sz="0" w:space="0" w:color="000000"/>
              <w:right w:val="none" w:sz="0" w:space="0" w:color="000000"/>
            </w:tcBorders>
            <w:shd w:val="clear" w:color="auto" w:fill="FFC7BE"/>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69,30</w:t>
            </w:r>
          </w:p>
        </w:tc>
        <w:tc>
          <w:tcPr>
            <w:tcBorders>
              <w:bottom w:val="none" w:sz="0" w:space="0" w:color="000000"/>
              <w:top w:val="none" w:sz="0" w:space="0" w:color="000000"/>
              <w:left w:val="none" w:sz="0" w:space="0" w:color="000000"/>
              <w:right w:val="none" w:sz="0" w:space="0" w:color="000000"/>
            </w:tcBorders>
            <w:shd w:val="clear" w:color="auto" w:fill="FFC6B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71,34</w:t>
            </w:r>
          </w:p>
        </w:tc>
        <w:tc>
          <w:tcPr>
            <w:tcBorders>
              <w:bottom w:val="none" w:sz="0" w:space="0" w:color="000000"/>
              <w:top w:val="none" w:sz="0" w:space="0" w:color="000000"/>
              <w:left w:val="none" w:sz="0" w:space="0" w:color="000000"/>
              <w:right w:val="single" w:sz="8" w:space="0" w:color="666666"/>
            </w:tcBorders>
            <w:shd w:val="clear" w:color="auto" w:fill="FFC3C3"/>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77,86</w:t>
            </w:r>
          </w:p>
        </w:tc>
      </w:tr>
      <w:tr>
        <w:trPr>
          <w:trHeight w:val="360" w:hRule="auto"/>
        </w:trPr>
        body26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FF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FF0000"/>
              </w:rPr>
              <w:t xml:space="preserve">↑</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D1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D3FCB8"/>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D2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c>
          <w:tcPr>
            <w:tcBorders>
              <w:bottom w:val="none" w:sz="0" w:space="0" w:color="000000"/>
              <w:top w:val="none" w:sz="0" w:space="0" w:color="000000"/>
              <w:left w:val="none" w:sz="0" w:space="0" w:color="000000"/>
              <w:right w:val="single" w:sz="8" w:space="0" w:color="666666"/>
            </w:tcBorders>
            <w:shd w:val="clear" w:color="auto" w:fill="D3FCB7"/>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2,17</w:t>
            </w:r>
          </w:p>
        </w:tc>
      </w:tr>
      <w:tr>
        <w:trPr>
          <w:trHeight w:val="360" w:hRule="auto"/>
        </w:trPr>
        body27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DF</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0,95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FF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FF00"/>
              </w:rPr>
              <w:t xml:space="preserve">↓</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0,24</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0,27</w:t>
            </w:r>
          </w:p>
        </w:tc>
        <w:tc>
          <w:tcPr>
            <w:tcBorders>
              <w:bottom w:val="single" w:sz="8" w:space="0" w:color="666666"/>
              <w:top w:val="none" w:sz="0" w:space="0" w:color="000000"/>
              <w:left w:val="none" w:sz="0" w:space="0" w:color="000000"/>
              <w:right w:val="none" w:sz="0" w:space="0" w:color="000000"/>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8" w:space="0" w:color="666666"/>
              <w:top w:val="none" w:sz="0" w:space="0" w:color="000000"/>
              <w:left w:val="none" w:sz="0" w:space="0" w:color="000000"/>
              <w:right w:val="none" w:sz="0" w:space="0" w:color="000000"/>
            </w:tcBorders>
            <w:shd w:val="clear" w:color="auto" w:fill="CF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0,21</w:t>
            </w:r>
          </w:p>
        </w:tc>
        <w:tc>
          <w:tcPr>
            <w:tcBorders>
              <w:bottom w:val="single" w:sz="8" w:space="0" w:color="666666"/>
              <w:top w:val="none" w:sz="0" w:space="0" w:color="000000"/>
              <w:left w:val="none" w:sz="0" w:space="0" w:color="000000"/>
              <w:right w:val="single" w:sz="8" w:space="0" w:color="666666"/>
            </w:tcBorders>
            <w:shd w:val="clear" w:color="auto" w:fill="D0FCB6"/>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0,31</w:t>
            </w:r>
          </w:p>
        </w:tc>
      </w:tr>
    </w:tbl>
    <w:p>
      <w:pPr>
        <w:pStyle w:val="Normal"/>
      </w:pPr>
      <w:r>
        <w:t xml:space="preserve">Conforme a figura 8, do total de 450 regionais, 5 estão com alta incidência e continuam subindo, 0 estão com alta, porém estável, 50 estão com alta, mas em queda e 391 estão com baixa ou moderada incidência de chikungunya.</w:t>
      </w:r>
    </w:p>
    <w:p>
      <w:pPr>
        <w:pStyle w:val="Normal"/>
      </w:pPr>
      <w:r>
        <w:drawing>
          <wp:inline>
            <wp:extent cx="5943600" cy="6934200"/>
            <wp:effectExtent b="0" l="0" r="0" t="0"/>
            <wp:docPr descr="" title="" id="49" name="Picture"/>
            <a:graphic>
              <a:graphicData uri="http://schemas.openxmlformats.org/drawingml/2006/picture">
                <pic:pic>
                  <pic:nvPicPr>
                    <pic:cNvPr descr="report/outputs/boletins_nacionais/Informe_Infodengue_SE202522_files/figure-docx/unnamed-chunk-25-1.png" id="50" name="Picture"/>
                    <pic:cNvPicPr>
                      <a:picLocks noChangeArrowheads="1" noChangeAspect="1"/>
                    </pic:cNvPicPr>
                  </pic:nvPicPr>
                  <pic:blipFill>
                    <a:blip r:embed="rId48"/>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8.</w:t>
      </w:r>
      <w:r>
        <w:t xml:space="preserve"> </w:t>
      </w:r>
      <w:r>
        <w:t xml:space="preserve">Regionais de saúde que a incidência de chikungunya esta em tendência de alta em subida (vermelho), alto estável (laranja), alto em queda (amarelo) e baixo ou moderado (verde).</w:t>
      </w:r>
    </w:p>
    <w:bookmarkEnd w:id="51"/>
    <w:bookmarkStart w:id="59" w:name="X3f86fa488985dcc593a06b6e7b3b4e4e2e10d23"/>
    <w:p>
      <w:pPr>
        <w:pStyle w:val="Ttulo2"/>
      </w:pPr>
      <w:r>
        <w:rPr>
          <w:b/>
          <w:bCs/>
        </w:rPr>
        <w:t xml:space="preserve">Comparação da incidência atual de dengue por UF com as previstas pelos modelos de previsão de temporada</w:t>
      </w:r>
    </w:p>
    <w:p>
      <w:pPr>
        <w:pStyle w:val="Normal"/>
      </w:pPr>
      <w:r>
        <w:t xml:space="preserve">O Infodengue, em parceria com o Mosqlimate, gerou previsões para a temporada 2024-2025 de dengue no país, por UF (</w:t>
      </w:r>
      <w:hyperlink r:id="rId52">
        <w:r>
          <w:rPr>
            <w:rStyle w:val="Hyperlink"/>
          </w:rPr>
          <w:t xml:space="preserve">https://zenodo.org/records/13929005</w:t>
        </w:r>
      </w:hyperlink>
      <w:r>
        <w:t xml:space="preserve">).</w:t>
      </w:r>
    </w:p>
    <w:p>
      <w:pPr>
        <w:pStyle w:val="Normal"/>
      </w:pPr>
      <w:r>
        <w:t xml:space="preserve">A temporada é definida como o período entre a semana 41 de 2024 e a semana 40 de 2025. A Figura abaixo mostra a incidência esperada de casos de dengue (casos prováveis). Para cada estado, tem-se dois modelos ensemble, que representam cenários de maior ou menor incidência esperada.</w:t>
      </w:r>
    </w:p>
    <w:p>
      <w:pPr>
        <w:pStyle w:val="Normal"/>
      </w:pPr>
      <w:r>
        <w:t xml:space="preserve">O modelo ensemble 23 foi calibrado com o cenário epidemiológico de 2023, enquanto que o modelo 24 é calibrado para o cenário epidemiológico 2024. Para a maioria das UFs, o modelo de 2024 tem predições de maior magnitude. Para interpretação, recomendamos trabalhar com os dois modelos como cenários alternativos.</w:t>
      </w:r>
    </w:p>
    <w:p>
      <w:pPr>
        <w:pStyle w:val="Normal"/>
      </w:pPr>
      <w:r>
        <w:t xml:space="preserve">A figura abaixo mostra o esperado para toda a temporada, de acordo com cada modelo: (A) incidência acumulada de casos prováveis de dengue em toda a temporada, segundo o modelo 2023; (B) o mesmo, considerando o modelo 2024; (C) cada faixa vertical liga os valores médios de cada modelo. Medidas de incerteza não são mostradas nessa figura. Observa-se que os modelos indicam um ano epidêmico (&gt; 300 casos por 100.000 hab) na maioria dos estados. Contudo os valores previstos de incidência são menores do que os observados em 2024, na maioria dos estados (</w:t>
      </w:r>
      <w:hyperlink r:id="rId52">
        <w:r>
          <w:rPr>
            <w:rStyle w:val="Hyperlink"/>
          </w:rPr>
          <w:t xml:space="preserve">https://zenodo.org/records/13929005</w:t>
        </w:r>
      </w:hyperlink>
      <w:r>
        <w:t xml:space="preserve">).</w:t>
      </w:r>
    </w:p>
    <w:p>
      <w:pPr>
        <w:pStyle w:val="Normal"/>
      </w:pPr>
      <w:r>
        <w:drawing>
          <wp:inline>
            <wp:extent cx="5943600" cy="6934200"/>
            <wp:effectExtent b="0" l="0" r="0" t="0"/>
            <wp:docPr descr="" title="" id="54" name="Picture"/>
            <a:graphic>
              <a:graphicData uri="http://schemas.openxmlformats.org/drawingml/2006/picture">
                <pic:pic>
                  <pic:nvPicPr>
                    <pic:cNvPr descr="report/outputs/boletins_nacionais/Informe_Infodengue_SE202522_files/figure-docx/unnamed-chunk-26-1.png" id="55" name="Picture"/>
                    <pic:cNvPicPr>
                      <a:picLocks noChangeArrowheads="1" noChangeAspect="1"/>
                    </pic:cNvPicPr>
                  </pic:nvPicPr>
                  <pic:blipFill>
                    <a:blip r:embed="rId53"/>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9.</w:t>
      </w:r>
      <w:r>
        <w:t xml:space="preserve"> </w:t>
      </w:r>
      <w:r>
        <w:t xml:space="preserve">Previsão para a temporada 2024/25.</w:t>
      </w:r>
    </w:p>
    <w:p>
      <w:pPr>
        <w:pStyle w:val="Normal"/>
      </w:pPr>
      <w:r>
        <w:t xml:space="preserve">A figura abaixo mostra o número de casos prováveis e a incidência acumulada estimada de dengue (casos prováveis) desde o início da temporada, isso é, semana 22 até a atual. Para o cálculo dos casos prováveis, aplica-se um fator de correção aos casos totais notificados. O fator é calculado com base na proporção de definidos como casos prováveis nos últimos seis meses, excluindo-se as últimas dez semanas. Além disso, a incidência estimada é corrigida utilizando nowcast.</w:t>
      </w:r>
    </w:p>
    <w:p>
      <w:pPr>
        <w:pStyle w:val="Normal"/>
      </w:pPr>
      <w:r>
        <w:t xml:space="preserve">Observa-se que, em termos absolutos, a maior frequência de casos na temporada foi registrada no estado de SP, seguido de PR, SC e GO, um padrão que se mantém nas últimas semanas (Fig A). Em termos relativos à população, o maior risco está concentrado no AC, AP, além dos acima mencionados. A Figura C compara a incidência acumulada até o momento com o previsto pelos modelos ensemble. Em quase todos, a incidência está menor ou dentro do previsto. As exceções são: AP e DF que estão acima do esperado, mas dentro da faixa de incerteza dos modelos.</w:t>
      </w:r>
    </w:p>
    <w:p>
      <w:pPr>
        <w:pStyle w:val="Normal"/>
      </w:pPr>
      <w:r>
        <w:drawing>
          <wp:inline>
            <wp:extent cx="5943600" cy="6934200"/>
            <wp:effectExtent b="0" l="0" r="0" t="0"/>
            <wp:docPr descr="" title="" id="57" name="Picture"/>
            <a:graphic>
              <a:graphicData uri="http://schemas.openxmlformats.org/drawingml/2006/picture">
                <pic:pic>
                  <pic:nvPicPr>
                    <pic:cNvPr descr="report/outputs/boletins_nacionais/Informe_Infodengue_SE202522_files/figure-docx/unnamed-chunk-27-1.png" id="58" name="Picture"/>
                    <pic:cNvPicPr>
                      <a:picLocks noChangeArrowheads="1" noChangeAspect="1"/>
                    </pic:cNvPicPr>
                  </pic:nvPicPr>
                  <pic:blipFill>
                    <a:blip r:embed="rId56"/>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10.</w:t>
      </w:r>
      <w:r>
        <w:t xml:space="preserve"> </w:t>
      </w:r>
      <w:r>
        <w:t xml:space="preserve">(A) Número estimado de casos prováveis, (B) incidência acumulada; e (C) Casos prov[aveis estimados de dengue.</w:t>
      </w:r>
    </w:p>
    <w:bookmarkEnd w:id="59"/>
    <w:bookmarkStart w:id="63" w:name="previsão-para-as-próximas-3-semanas"/>
    <w:p>
      <w:pPr>
        <w:pStyle w:val="Ttulo2"/>
      </w:pPr>
      <w:r>
        <w:rPr>
          <w:b/>
          <w:bCs/>
        </w:rPr>
        <w:t xml:space="preserve">Previsão para as próximas 3 semanas</w:t>
      </w:r>
    </w:p>
    <w:p>
      <w:pPr>
        <w:pStyle w:val="Normal"/>
      </w:pPr>
      <w:r>
        <w:t xml:space="preserve">Para gerar predições de curto prazo, são treinados semanalmente três modelos de predição: o primeiro é baseado em redes neurais LSTM, o segundo utiliza processos gaussianos, e o último é um modelo ARIMA não sazonal e univariado. Esses modelos foram aplicados aos casos prováveis a nível de Unidade da Federação (UF) no Brasil, sendo treinado um modelo para cada UF e outro para o Brasil como um todo.</w:t>
      </w:r>
    </w:p>
    <w:p>
      <w:pPr>
        <w:pStyle w:val="Normal"/>
      </w:pPr>
      <w:r>
        <w:t xml:space="preserve">A figura 11 mostra as previsões para as próximas 3 semanas. Em termos de incidência, o maior risco encontra-se em SP e MG, seguido de GO, MT, RJ. Em termos de total de casos no período (Fig B), espera-se menos do que o previsto nos modelos ensembles de temporada, em 15 dos 27 estados (pontos azuis). Os demais estados aparecem com estimativas entre o esperado pelos dois forecasts, sendo que AP, AC, PA estão um pouco acima do esperado, mas ainda dentro da faixa de incerteza.</w:t>
      </w:r>
    </w:p>
    <w:p>
      <w:pPr>
        <w:pStyle w:val="Normal"/>
      </w:pPr>
      <w:r>
        <w:drawing>
          <wp:inline>
            <wp:extent cx="5943600" cy="6934200"/>
            <wp:effectExtent b="0" l="0" r="0" t="0"/>
            <wp:docPr descr="" title="" id="61" name="Picture"/>
            <a:graphic>
              <a:graphicData uri="http://schemas.openxmlformats.org/drawingml/2006/picture">
                <pic:pic>
                  <pic:nvPicPr>
                    <pic:cNvPr descr="report/outputs/boletins_nacionais/Informe_Infodengue_SE202522_files/figure-docx/unnamed-chunk-28-1.png" id="62" name="Picture"/>
                    <pic:cNvPicPr>
                      <a:picLocks noChangeArrowheads="1" noChangeAspect="1"/>
                    </pic:cNvPicPr>
                  </pic:nvPicPr>
                  <pic:blipFill>
                    <a:blip r:embed="rId60"/>
                    <a:stretch>
                      <a:fillRect/>
                    </a:stretch>
                  </pic:blipFill>
                  <pic:spPr bwMode="auto">
                    <a:xfrm>
                      <a:off x="0" y="0"/>
                      <a:ext cx="5943600" cy="6934200"/>
                    </a:xfrm>
                    <a:prstGeom prst="rect">
                      <a:avLst/>
                    </a:prstGeom>
                    <a:noFill/>
                    <a:ln w="9525">
                      <a:noFill/>
                      <a:headEnd/>
                      <a:tailEnd/>
                    </a:ln>
                  </pic:spPr>
                </pic:pic>
              </a:graphicData>
            </a:graphic>
          </wp:inline>
        </w:drawing>
      </w:r>
    </w:p>
    <w:p>
      <w:pPr>
        <w:pStyle w:val="Normal"/>
      </w:pPr>
      <w:r>
        <w:rPr>
          <w:b/>
          <w:bCs/>
        </w:rPr>
        <w:t xml:space="preserve">Figura 11.</w:t>
      </w:r>
      <w:r>
        <w:t xml:space="preserve"> </w:t>
      </w:r>
      <w:r>
        <w:t xml:space="preserve">Previsões para as próximas 3 semanas.</w:t>
      </w:r>
    </w:p>
    <w:p>
      <w:pPr>
        <w:pStyle w:val="Normal"/>
      </w:pPr>
      <w:r>
        <w:t xml:space="preserve">As figuras abaixo mostram as curvas de incidência observadas e preditas para cada UF. O painel à esquerda apresenta um zoom com o objetivo de destacar as previsões de curto prazo, enquanto o painel à direita foca em comparar a tendência de curto prazo prevista com as tendências projetadas pelos modelos de ensemble de longo prazo propostos. Importante ressaltar que a figura à esquerda representa um</w:t>
      </w:r>
      <w:r>
        <w:t xml:space="preserve"> </w:t>
      </w:r>
      <w:r>
        <w:t xml:space="preserve">“</w:t>
      </w:r>
      <w:r>
        <w:t xml:space="preserve">zoom</w:t>
      </w:r>
      <w:r>
        <w:t xml:space="preserve">”</w:t>
      </w:r>
      <w:r>
        <w:t xml:space="preserve"> </w:t>
      </w:r>
      <w:r>
        <w:t xml:space="preserve">da imagem à direita.</w:t>
      </w:r>
    </w:p>
    <w:bookmarkEnd w:id="63"/>
    <w:bookmarkStart w:id="85" w:name="norte"/>
    <w:p>
      <w:pPr>
        <w:pStyle w:val="Ttulo1"/>
      </w:pPr>
      <w:r>
        <w:t xml:space="preserve">Norte</w:t>
      </w:r>
    </w:p>
    <w:p>
      <w:pPr>
        <w:pStyle w:val="FirstParagraph"/>
      </w:pPr>
      <w:r>
        <w:drawing>
          <wp:inline>
            <wp:extent cx="5458876" cy="4250889"/>
            <wp:effectExtent b="0" l="0" r="0" t="0"/>
            <wp:docPr descr="" title="" id="65" name="Picture"/>
            <a:graphic>
              <a:graphicData uri="http://schemas.openxmlformats.org/drawingml/2006/picture">
                <pic:pic>
                  <pic:nvPicPr>
                    <pic:cNvPr descr="figures/forecast_RO.png" id="66" name="Picture"/>
                    <pic:cNvPicPr>
                      <a:picLocks noChangeArrowheads="1" noChangeAspect="1"/>
                    </pic:cNvPicPr>
                  </pic:nvPicPr>
                  <pic:blipFill>
                    <a:blip r:embed="rId6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68" name="Picture"/>
            <a:graphic>
              <a:graphicData uri="http://schemas.openxmlformats.org/drawingml/2006/picture">
                <pic:pic>
                  <pic:nvPicPr>
                    <pic:cNvPr descr="figures/forecast_AC.png" id="69" name="Picture"/>
                    <pic:cNvPicPr>
                      <a:picLocks noChangeArrowheads="1" noChangeAspect="1"/>
                    </pic:cNvPicPr>
                  </pic:nvPicPr>
                  <pic:blipFill>
                    <a:blip r:embed="rId67"/>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71" name="Picture"/>
            <a:graphic>
              <a:graphicData uri="http://schemas.openxmlformats.org/drawingml/2006/picture">
                <pic:pic>
                  <pic:nvPicPr>
                    <pic:cNvPr descr="figures/forecast_AM.png" id="72" name="Picture"/>
                    <pic:cNvPicPr>
                      <a:picLocks noChangeArrowheads="1" noChangeAspect="1"/>
                    </pic:cNvPicPr>
                  </pic:nvPicPr>
                  <pic:blipFill>
                    <a:blip r:embed="rId70"/>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74" name="Picture"/>
            <a:graphic>
              <a:graphicData uri="http://schemas.openxmlformats.org/drawingml/2006/picture">
                <pic:pic>
                  <pic:nvPicPr>
                    <pic:cNvPr descr="figures/forecast_RR.png" id="75" name="Picture"/>
                    <pic:cNvPicPr>
                      <a:picLocks noChangeArrowheads="1" noChangeAspect="1"/>
                    </pic:cNvPicPr>
                  </pic:nvPicPr>
                  <pic:blipFill>
                    <a:blip r:embed="rId73"/>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458876" cy="4250889"/>
            <wp:effectExtent b="0" l="0" r="0" t="0"/>
            <wp:docPr descr="" title="" id="77" name="Picture"/>
            <a:graphic>
              <a:graphicData uri="http://schemas.openxmlformats.org/drawingml/2006/picture">
                <pic:pic>
                  <pic:nvPicPr>
                    <pic:cNvPr descr="figures/forecast_PA.png" id="78" name="Picture"/>
                    <pic:cNvPicPr>
                      <a:picLocks noChangeArrowheads="1" noChangeAspect="1"/>
                    </pic:cNvPicPr>
                  </pic:nvPicPr>
                  <pic:blipFill>
                    <a:blip r:embed="rId7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0" name="Picture"/>
            <a:graphic>
              <a:graphicData uri="http://schemas.openxmlformats.org/drawingml/2006/picture">
                <pic:pic>
                  <pic:nvPicPr>
                    <pic:cNvPr descr="figures/forecast_AP.png" id="81" name="Picture"/>
                    <pic:cNvPicPr>
                      <a:picLocks noChangeArrowheads="1" noChangeAspect="1"/>
                    </pic:cNvPicPr>
                  </pic:nvPicPr>
                  <pic:blipFill>
                    <a:blip r:embed="rId7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83" name="Picture"/>
            <a:graphic>
              <a:graphicData uri="http://schemas.openxmlformats.org/drawingml/2006/picture">
                <pic:pic>
                  <pic:nvPicPr>
                    <pic:cNvPr descr="figures/forecast_TO.png" id="84" name="Picture"/>
                    <pic:cNvPicPr>
                      <a:picLocks noChangeArrowheads="1" noChangeAspect="1"/>
                    </pic:cNvPicPr>
                  </pic:nvPicPr>
                  <pic:blipFill>
                    <a:blip r:embed="rId82"/>
                    <a:stretch>
                      <a:fillRect/>
                    </a:stretch>
                  </pic:blipFill>
                  <pic:spPr bwMode="auto">
                    <a:xfrm>
                      <a:off x="0" y="0"/>
                      <a:ext cx="5458876" cy="4250889"/>
                    </a:xfrm>
                    <a:prstGeom prst="rect">
                      <a:avLst/>
                    </a:prstGeom>
                    <a:noFill/>
                    <a:ln w="9525">
                      <a:noFill/>
                      <a:headEnd/>
                      <a:tailEnd/>
                    </a:ln>
                  </pic:spPr>
                </pic:pic>
              </a:graphicData>
            </a:graphic>
          </wp:inline>
        </w:drawing>
      </w:r>
    </w:p>
    <w:bookmarkEnd w:id="85"/>
    <w:bookmarkStart w:id="113" w:name="nordeste"/>
    <w:p>
      <w:pPr>
        <w:pStyle w:val="Ttulo1"/>
      </w:pPr>
      <w:r>
        <w:t xml:space="preserve">Nordeste</w:t>
      </w:r>
    </w:p>
    <w:p>
      <w:pPr>
        <w:pStyle w:val="FirstParagraph"/>
      </w:pPr>
      <w:r>
        <w:drawing>
          <wp:inline>
            <wp:extent cx="5458876" cy="4250889"/>
            <wp:effectExtent b="0" l="0" r="0" t="0"/>
            <wp:docPr descr="" title="" id="87" name="Picture"/>
            <a:graphic>
              <a:graphicData uri="http://schemas.openxmlformats.org/drawingml/2006/picture">
                <pic:pic>
                  <pic:nvPicPr>
                    <pic:cNvPr descr="figures/forecast_MA.png" id="88" name="Picture"/>
                    <pic:cNvPicPr>
                      <a:picLocks noChangeArrowheads="1" noChangeAspect="1"/>
                    </pic:cNvPicPr>
                  </pic:nvPicPr>
                  <pic:blipFill>
                    <a:blip r:embed="rId86"/>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0" name="Picture"/>
            <a:graphic>
              <a:graphicData uri="http://schemas.openxmlformats.org/drawingml/2006/picture">
                <pic:pic>
                  <pic:nvPicPr>
                    <pic:cNvPr descr="figures/forecast_PI.png" id="91" name="Picture"/>
                    <pic:cNvPicPr>
                      <a:picLocks noChangeArrowheads="1" noChangeAspect="1"/>
                    </pic:cNvPicPr>
                  </pic:nvPicPr>
                  <pic:blipFill>
                    <a:blip r:embed="rId89"/>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3" name="Picture"/>
            <a:graphic>
              <a:graphicData uri="http://schemas.openxmlformats.org/drawingml/2006/picture">
                <pic:pic>
                  <pic:nvPicPr>
                    <pic:cNvPr descr="figures/forecast_CE.png" id="94" name="Picture"/>
                    <pic:cNvPicPr>
                      <a:picLocks noChangeArrowheads="1" noChangeAspect="1"/>
                    </pic:cNvPicPr>
                  </pic:nvPicPr>
                  <pic:blipFill>
                    <a:blip r:embed="rId92"/>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6" name="Picture"/>
            <a:graphic>
              <a:graphicData uri="http://schemas.openxmlformats.org/drawingml/2006/picture">
                <pic:pic>
                  <pic:nvPicPr>
                    <pic:cNvPr descr="figures/forecast_RN.png" id="97" name="Picture"/>
                    <pic:cNvPicPr>
                      <a:picLocks noChangeArrowheads="1" noChangeAspect="1"/>
                    </pic:cNvPicPr>
                  </pic:nvPicPr>
                  <pic:blipFill>
                    <a:blip r:embed="rId95"/>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99" name="Picture"/>
            <a:graphic>
              <a:graphicData uri="http://schemas.openxmlformats.org/drawingml/2006/picture">
                <pic:pic>
                  <pic:nvPicPr>
                    <pic:cNvPr descr="figures/forecast_PB.png" id="100" name="Picture"/>
                    <pic:cNvPicPr>
                      <a:picLocks noChangeArrowheads="1" noChangeAspect="1"/>
                    </pic:cNvPicPr>
                  </pic:nvPicPr>
                  <pic:blipFill>
                    <a:blip r:embed="rId98"/>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2" name="Picture"/>
            <a:graphic>
              <a:graphicData uri="http://schemas.openxmlformats.org/drawingml/2006/picture">
                <pic:pic>
                  <pic:nvPicPr>
                    <pic:cNvPr descr="figures/forecast_PE.png" id="103" name="Picture"/>
                    <pic:cNvPicPr>
                      <a:picLocks noChangeArrowheads="1" noChangeAspect="1"/>
                    </pic:cNvPicPr>
                  </pic:nvPicPr>
                  <pic:blipFill>
                    <a:blip r:embed="rId101"/>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458876" cy="4250889"/>
            <wp:effectExtent b="0" l="0" r="0" t="0"/>
            <wp:docPr descr="" title="" id="105" name="Picture"/>
            <a:graphic>
              <a:graphicData uri="http://schemas.openxmlformats.org/drawingml/2006/picture">
                <pic:pic>
                  <pic:nvPicPr>
                    <pic:cNvPr descr="figures/forecast_AL.png" id="106" name="Picture"/>
                    <pic:cNvPicPr>
                      <a:picLocks noChangeArrowheads="1" noChangeAspect="1"/>
                    </pic:cNvPicPr>
                  </pic:nvPicPr>
                  <pic:blipFill>
                    <a:blip r:embed="rId10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376305" cy="4250889"/>
            <wp:effectExtent b="0" l="0" r="0" t="0"/>
            <wp:docPr descr="" title="" id="108" name="Picture"/>
            <a:graphic>
              <a:graphicData uri="http://schemas.openxmlformats.org/drawingml/2006/picture">
                <pic:pic>
                  <pic:nvPicPr>
                    <pic:cNvPr descr="figures/forecast_SE.png" id="109" name="Picture"/>
                    <pic:cNvPicPr>
                      <a:picLocks noChangeArrowheads="1" noChangeAspect="1"/>
                    </pic:cNvPicPr>
                  </pic:nvPicPr>
                  <pic:blipFill>
                    <a:blip r:embed="rId107"/>
                    <a:stretch>
                      <a:fillRect/>
                    </a:stretch>
                  </pic:blipFill>
                  <pic:spPr bwMode="auto">
                    <a:xfrm>
                      <a:off x="0" y="0"/>
                      <a:ext cx="5376305" cy="4250889"/>
                    </a:xfrm>
                    <a:prstGeom prst="rect">
                      <a:avLst/>
                    </a:prstGeom>
                    <a:noFill/>
                    <a:ln w="9525">
                      <a:noFill/>
                      <a:headEnd/>
                      <a:tailEnd/>
                    </a:ln>
                  </pic:spPr>
                </pic:pic>
              </a:graphicData>
            </a:graphic>
          </wp:inline>
        </w:drawing>
      </w:r>
      <w:r>
        <w:drawing>
          <wp:inline>
            <wp:extent cx="5538389" cy="4250889"/>
            <wp:effectExtent b="0" l="0" r="0" t="0"/>
            <wp:docPr descr="" title="" id="111" name="Picture"/>
            <a:graphic>
              <a:graphicData uri="http://schemas.openxmlformats.org/drawingml/2006/picture">
                <pic:pic>
                  <pic:nvPicPr>
                    <pic:cNvPr descr="figures/forecast_BA.png" id="112" name="Picture"/>
                    <pic:cNvPicPr>
                      <a:picLocks noChangeArrowheads="1" noChangeAspect="1"/>
                    </pic:cNvPicPr>
                  </pic:nvPicPr>
                  <pic:blipFill>
                    <a:blip r:embed="rId110"/>
                    <a:stretch>
                      <a:fillRect/>
                    </a:stretch>
                  </pic:blipFill>
                  <pic:spPr bwMode="auto">
                    <a:xfrm>
                      <a:off x="0" y="0"/>
                      <a:ext cx="5538389" cy="4250889"/>
                    </a:xfrm>
                    <a:prstGeom prst="rect">
                      <a:avLst/>
                    </a:prstGeom>
                    <a:noFill/>
                    <a:ln w="9525">
                      <a:noFill/>
                      <a:headEnd/>
                      <a:tailEnd/>
                    </a:ln>
                  </pic:spPr>
                </pic:pic>
              </a:graphicData>
            </a:graphic>
          </wp:inline>
        </w:drawing>
      </w:r>
    </w:p>
    <w:bookmarkEnd w:id="113"/>
    <w:bookmarkStart w:id="123" w:name="sudeste"/>
    <w:p>
      <w:pPr>
        <w:pStyle w:val="Ttulo1"/>
      </w:pPr>
      <w:r>
        <w:t xml:space="preserve">Sudeste</w:t>
      </w:r>
    </w:p>
    <w:p>
      <w:pPr>
        <w:pStyle w:val="FirstParagraph"/>
      </w:pPr>
      <w:r>
        <w:drawing>
          <wp:inline>
            <wp:extent cx="5620960" cy="4250889"/>
            <wp:effectExtent b="0" l="0" r="0" t="0"/>
            <wp:docPr descr="" title="" id="115" name="Picture"/>
            <a:graphic>
              <a:graphicData uri="http://schemas.openxmlformats.org/drawingml/2006/picture">
                <pic:pic>
                  <pic:nvPicPr>
                    <pic:cNvPr descr="figures/forecast_MG.png" id="116" name="Picture"/>
                    <pic:cNvPicPr>
                      <a:picLocks noChangeArrowheads="1" noChangeAspect="1"/>
                    </pic:cNvPicPr>
                  </pic:nvPicPr>
                  <pic:blipFill>
                    <a:blip r:embed="rId114"/>
                    <a:stretch>
                      <a:fillRect/>
                    </a:stretch>
                  </pic:blipFill>
                  <pic:spPr bwMode="auto">
                    <a:xfrm>
                      <a:off x="0" y="0"/>
                      <a:ext cx="5620960" cy="4250889"/>
                    </a:xfrm>
                    <a:prstGeom prst="rect">
                      <a:avLst/>
                    </a:prstGeom>
                    <a:noFill/>
                    <a:ln w="9525">
                      <a:noFill/>
                      <a:headEnd/>
                      <a:tailEnd/>
                    </a:ln>
                  </pic:spPr>
                </pic:pic>
              </a:graphicData>
            </a:graphic>
          </wp:inline>
        </w:drawing>
      </w:r>
      <w:r>
        <w:drawing>
          <wp:inline>
            <wp:extent cx="5538389" cy="4250889"/>
            <wp:effectExtent b="0" l="0" r="0" t="0"/>
            <wp:docPr descr="" title="" id="118" name="Picture"/>
            <a:graphic>
              <a:graphicData uri="http://schemas.openxmlformats.org/drawingml/2006/picture">
                <pic:pic>
                  <pic:nvPicPr>
                    <pic:cNvPr descr="figures/forecast_RJ.png" id="119" name="Picture"/>
                    <pic:cNvPicPr>
                      <a:picLocks noChangeArrowheads="1" noChangeAspect="1"/>
                    </pic:cNvPicPr>
                  </pic:nvPicPr>
                  <pic:blipFill>
                    <a:blip r:embed="rId11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21" name="Picture"/>
            <a:graphic>
              <a:graphicData uri="http://schemas.openxmlformats.org/drawingml/2006/picture">
                <pic:pic>
                  <pic:nvPicPr>
                    <pic:cNvPr descr="figures/forecast_SP.png" id="122" name="Picture"/>
                    <pic:cNvPicPr>
                      <a:picLocks noChangeArrowheads="1" noChangeAspect="1"/>
                    </pic:cNvPicPr>
                  </pic:nvPicPr>
                  <pic:blipFill>
                    <a:blip r:embed="rId120"/>
                    <a:stretch>
                      <a:fillRect/>
                    </a:stretch>
                  </pic:blipFill>
                  <pic:spPr bwMode="auto">
                    <a:xfrm>
                      <a:off x="0" y="0"/>
                      <a:ext cx="5620960" cy="4250889"/>
                    </a:xfrm>
                    <a:prstGeom prst="rect">
                      <a:avLst/>
                    </a:prstGeom>
                    <a:noFill/>
                    <a:ln w="9525">
                      <a:noFill/>
                      <a:headEnd/>
                      <a:tailEnd/>
                    </a:ln>
                  </pic:spPr>
                </pic:pic>
              </a:graphicData>
            </a:graphic>
          </wp:inline>
        </w:drawing>
      </w:r>
    </w:p>
    <w:bookmarkEnd w:id="123"/>
    <w:bookmarkStart w:id="133" w:name="sul"/>
    <w:p>
      <w:pPr>
        <w:pStyle w:val="Ttulo1"/>
      </w:pPr>
      <w:r>
        <w:t xml:space="preserve">Sul</w:t>
      </w:r>
    </w:p>
    <w:p>
      <w:pPr>
        <w:pStyle w:val="FirstParagraph"/>
      </w:pPr>
      <w:r>
        <w:drawing>
          <wp:inline>
            <wp:extent cx="5538389" cy="4250889"/>
            <wp:effectExtent b="0" l="0" r="0" t="0"/>
            <wp:docPr descr="" title="" id="125" name="Picture"/>
            <a:graphic>
              <a:graphicData uri="http://schemas.openxmlformats.org/drawingml/2006/picture">
                <pic:pic>
                  <pic:nvPicPr>
                    <pic:cNvPr descr="figures/forecast_PR.png" id="126" name="Picture"/>
                    <pic:cNvPicPr>
                      <a:picLocks noChangeArrowheads="1" noChangeAspect="1"/>
                    </pic:cNvPicPr>
                  </pic:nvPicPr>
                  <pic:blipFill>
                    <a:blip r:embed="rId124"/>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28" name="Picture"/>
            <a:graphic>
              <a:graphicData uri="http://schemas.openxmlformats.org/drawingml/2006/picture">
                <pic:pic>
                  <pic:nvPicPr>
                    <pic:cNvPr descr="figures/forecast_SC.png" id="129" name="Picture"/>
                    <pic:cNvPicPr>
                      <a:picLocks noChangeArrowheads="1" noChangeAspect="1"/>
                    </pic:cNvPicPr>
                  </pic:nvPicPr>
                  <pic:blipFill>
                    <a:blip r:embed="rId12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620960" cy="4250889"/>
            <wp:effectExtent b="0" l="0" r="0" t="0"/>
            <wp:docPr descr="" title="" id="131" name="Picture"/>
            <a:graphic>
              <a:graphicData uri="http://schemas.openxmlformats.org/drawingml/2006/picture">
                <pic:pic>
                  <pic:nvPicPr>
                    <pic:cNvPr descr="figures/forecast_RS.png" id="132" name="Picture"/>
                    <pic:cNvPicPr>
                      <a:picLocks noChangeArrowheads="1" noChangeAspect="1"/>
                    </pic:cNvPicPr>
                  </pic:nvPicPr>
                  <pic:blipFill>
                    <a:blip r:embed="rId130"/>
                    <a:stretch>
                      <a:fillRect/>
                    </a:stretch>
                  </pic:blipFill>
                  <pic:spPr bwMode="auto">
                    <a:xfrm>
                      <a:off x="0" y="0"/>
                      <a:ext cx="5620960" cy="4250889"/>
                    </a:xfrm>
                    <a:prstGeom prst="rect">
                      <a:avLst/>
                    </a:prstGeom>
                    <a:noFill/>
                    <a:ln w="9525">
                      <a:noFill/>
                      <a:headEnd/>
                      <a:tailEnd/>
                    </a:ln>
                  </pic:spPr>
                </pic:pic>
              </a:graphicData>
            </a:graphic>
          </wp:inline>
        </w:drawing>
      </w:r>
    </w:p>
    <w:bookmarkEnd w:id="133"/>
    <w:bookmarkStart w:id="149" w:name="centro-oeste"/>
    <w:p>
      <w:pPr>
        <w:pStyle w:val="Ttulo1"/>
      </w:pPr>
      <w:r>
        <w:t xml:space="preserve">Centro-Oeste</w:t>
      </w:r>
    </w:p>
    <w:p>
      <w:pPr>
        <w:pStyle w:val="FirstParagraph"/>
      </w:pPr>
      <w:r>
        <w:drawing>
          <wp:inline>
            <wp:extent cx="5458876" cy="4250889"/>
            <wp:effectExtent b="0" l="0" r="0" t="0"/>
            <wp:docPr descr="" title="" id="135" name="Picture"/>
            <a:graphic>
              <a:graphicData uri="http://schemas.openxmlformats.org/drawingml/2006/picture">
                <pic:pic>
                  <pic:nvPicPr>
                    <pic:cNvPr descr="figures/forecast_MS.png" id="136" name="Picture"/>
                    <pic:cNvPicPr>
                      <a:picLocks noChangeArrowheads="1" noChangeAspect="1"/>
                    </pic:cNvPicPr>
                  </pic:nvPicPr>
                  <pic:blipFill>
                    <a:blip r:embed="rId134"/>
                    <a:stretch>
                      <a:fillRect/>
                    </a:stretch>
                  </pic:blipFill>
                  <pic:spPr bwMode="auto">
                    <a:xfrm>
                      <a:off x="0" y="0"/>
                      <a:ext cx="5458876" cy="4250889"/>
                    </a:xfrm>
                    <a:prstGeom prst="rect">
                      <a:avLst/>
                    </a:prstGeom>
                    <a:noFill/>
                    <a:ln w="9525">
                      <a:noFill/>
                      <a:headEnd/>
                      <a:tailEnd/>
                    </a:ln>
                  </pic:spPr>
                </pic:pic>
              </a:graphicData>
            </a:graphic>
          </wp:inline>
        </w:drawing>
      </w:r>
      <w:r>
        <w:drawing>
          <wp:inline>
            <wp:extent cx="5538389" cy="4250889"/>
            <wp:effectExtent b="0" l="0" r="0" t="0"/>
            <wp:docPr descr="" title="" id="138" name="Picture"/>
            <a:graphic>
              <a:graphicData uri="http://schemas.openxmlformats.org/drawingml/2006/picture">
                <pic:pic>
                  <pic:nvPicPr>
                    <pic:cNvPr descr="figures/forecast_MT.png" id="139" name="Picture"/>
                    <pic:cNvPicPr>
                      <a:picLocks noChangeArrowheads="1" noChangeAspect="1"/>
                    </pic:cNvPicPr>
                  </pic:nvPicPr>
                  <pic:blipFill>
                    <a:blip r:embed="rId137"/>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538389" cy="4250889"/>
            <wp:effectExtent b="0" l="0" r="0" t="0"/>
            <wp:docPr descr="" title="" id="141" name="Picture"/>
            <a:graphic>
              <a:graphicData uri="http://schemas.openxmlformats.org/drawingml/2006/picture">
                <pic:pic>
                  <pic:nvPicPr>
                    <pic:cNvPr descr="figures/forecast_GO.png" id="142" name="Picture"/>
                    <pic:cNvPicPr>
                      <a:picLocks noChangeArrowheads="1" noChangeAspect="1"/>
                    </pic:cNvPicPr>
                  </pic:nvPicPr>
                  <pic:blipFill>
                    <a:blip r:embed="rId140"/>
                    <a:stretch>
                      <a:fillRect/>
                    </a:stretch>
                  </pic:blipFill>
                  <pic:spPr bwMode="auto">
                    <a:xfrm>
                      <a:off x="0" y="0"/>
                      <a:ext cx="5538389" cy="4250889"/>
                    </a:xfrm>
                    <a:prstGeom prst="rect">
                      <a:avLst/>
                    </a:prstGeom>
                    <a:noFill/>
                    <a:ln w="9525">
                      <a:noFill/>
                      <a:headEnd/>
                      <a:tailEnd/>
                    </a:ln>
                  </pic:spPr>
                </pic:pic>
              </a:graphicData>
            </a:graphic>
          </wp:inline>
        </w:drawing>
      </w:r>
      <w:r>
        <w:drawing>
          <wp:inline>
            <wp:extent cx="5458876" cy="4250889"/>
            <wp:effectExtent b="0" l="0" r="0" t="0"/>
            <wp:docPr descr="" title="" id="144" name="Picture"/>
            <a:graphic>
              <a:graphicData uri="http://schemas.openxmlformats.org/drawingml/2006/picture">
                <pic:pic>
                  <pic:nvPicPr>
                    <pic:cNvPr descr="figures/forecast_DF.png" id="145" name="Picture"/>
                    <pic:cNvPicPr>
                      <a:picLocks noChangeArrowheads="1" noChangeAspect="1"/>
                    </pic:cNvPicPr>
                  </pic:nvPicPr>
                  <pic:blipFill>
                    <a:blip r:embed="rId143"/>
                    <a:stretch>
                      <a:fillRect/>
                    </a:stretch>
                  </pic:blipFill>
                  <pic:spPr bwMode="auto">
                    <a:xfrm>
                      <a:off x="0" y="0"/>
                      <a:ext cx="5458876" cy="4250889"/>
                    </a:xfrm>
                    <a:prstGeom prst="rect">
                      <a:avLst/>
                    </a:prstGeom>
                    <a:noFill/>
                    <a:ln w="9525">
                      <a:noFill/>
                      <a:headEnd/>
                      <a:tailEnd/>
                    </a:ln>
                  </pic:spPr>
                </pic:pic>
              </a:graphicData>
            </a:graphic>
          </wp:inline>
        </w:drawing>
      </w:r>
    </w:p>
    <w:p>
      <w:pPr>
        <w:pStyle w:val="Corpodetexto"/>
      </w:pPr>
      <w:r>
        <w:rPr>
          <w:b/>
          <w:bCs/>
        </w:rPr>
        <w:t xml:space="preserve">Alguns detalhes por macroregião:</w:t>
      </w:r>
    </w:p>
    <w:p>
      <w:pPr>
        <w:pStyle w:val="Normal"/>
      </w:pPr>
      <w:r>
        <w:t xml:space="preserve">A tabela a seguir mostra as macrorregiões que apresentaram tendência de crescimento do número de casos (Rt médio maior ou igual a 1,1).</w:t>
      </w:r>
    </w:p>
    <w:p>
      <w:pPr>
        <w:pStyle w:val="Normal"/>
      </w:pPr>
      <w:r>
        <w:rPr>
          <w:b/>
          <w:bCs/>
        </w:rPr>
        <w:t xml:space="preserve">Tabela 5.</w:t>
      </w:r>
      <w:r>
        <w:t xml:space="preserve"> </w:t>
      </w:r>
      <w:r>
        <w:t xml:space="preserve">Macrorregiões que apresentaram tendência de crescimento para dengue.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825"/>
        <w:gridCol w:w="314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 do Sul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TRES LAGOAS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CAMPO GRANDE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Maranhão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SEMI-ARIDO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Pernambuco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 DO S.FRANCISCO E ARARIPE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Alagoas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1a MACRORREGIAO DE SAUDE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6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 NORTE ( JACOBINA)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Acre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RORAIMA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58"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Amapá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UNICA - 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Santa Catarina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FOZ DO RIO ITAJAI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Rio Grande do 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METROPOLITANA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bl>
    <w:p>
      <w:pPr>
        <w:pStyle w:val="Normal"/>
      </w:pPr>
      <w:r>
        <w:rPr>
          <w:b/>
          <w:bCs/>
        </w:rPr>
        <w:t xml:space="preserve">Tabela 6.</w:t>
      </w:r>
      <w:r>
        <w:t xml:space="preserve"> </w:t>
      </w:r>
      <w:r>
        <w:t xml:space="preserve">Macrorregiões que apresentaram tendência de crescimento para chikungunya.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1"/>
        <w:gridCol w:w="1424"/>
        <w:gridCol w:w="2580"/>
        <w:gridCol w:w="997"/>
        <w:gridCol w:w="1478"/>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Região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show_estado</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macroregional</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Rtmean</w:t>
            </w:r>
          </w:p>
        </w:tc>
        <w:tc>
          <w:tcPr>
            <w:tcBorders>
              <w:bottom w:val="single" w:sz="12" w:space="0" w:color="666666"/>
              <w:top w:val="single" w:sz="12" w:space="0" w:color="666666"/>
              <w:left w:val="none" w:sz="0" w:space="0" w:color="000000"/>
              <w:right w:val="none" w:sz="0" w:space="0" w:color="000000"/>
            </w:tcBorders>
            <w:shd w:val="clear" w:color="auto" w:fill="D1E2F2"/>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Tendência</w:t>
            </w:r>
          </w:p>
        </w:tc>
      </w:tr>
      <w:tr>
        <w:trPr>
          <w:trHeight w:val="52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Mato Grosso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Goiás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CENTRO 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Piauí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MEIO 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Ceará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LITORAL LESTE/JAGUARIBE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Amazonas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Minas Gerais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São Paulo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Sudeste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RRAS10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 leve</w:t>
            </w:r>
          </w:p>
        </w:tc>
      </w:tr>
      <w:tr>
        <w:trPr>
          <w:trHeight w:val="52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Paraná</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NOROESTE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r>
        <w:trPr>
          <w:trHeight w:val="529"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LESTE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Crescente</w:t>
            </w:r>
          </w:p>
        </w:tc>
      </w:tr>
    </w:tbl>
    <w:bookmarkStart w:id="147" w:name="observações-sobre-a-metodologia"/>
    <w:p>
      <w:pPr>
        <w:pStyle w:val="Ttulo2"/>
      </w:pPr>
      <w:r>
        <w:rPr>
          <w:b/>
          <w:bCs/>
        </w:rPr>
        <w:t xml:space="preserve">OBSERVAÇÕES SOBRE A METODOLOGIA</w:t>
      </w:r>
    </w:p>
    <w:p>
      <w:pPr>
        <w:pStyle w:val="Normal"/>
      </w:pPr>
      <w:r>
        <w:t xml:space="preserve">A atualização dos dados pode resultar em mudanças nas estimativas. Para detalhes sobre as metodologias, consultar o site do Infodengue e as referências citadas ao fim do documento.</w:t>
      </w:r>
    </w:p>
    <w:p>
      <w:pPr>
        <w:pStyle w:val="Normal"/>
      </w:pPr>
      <w:r>
        <w:t xml:space="preserve">Em relação ao cálculo do número total de casos projetados para a temporada, utilizou-se o modelo de Richards, que assume taxa de transmissão constante e pico de casos entre as semanas 13 a 15 de 2025. Qualquer variação desses parâmetros podem alterar as estimativas. Para obter estimativas a nível de município (R0), consulte o episcanner (</w:t>
      </w:r>
      <w:hyperlink r:id="rId146">
        <w:r>
          <w:rPr>
            <w:rStyle w:val="Hyperlink"/>
          </w:rPr>
          <w:t xml:space="preserve">https://info.dengue.mat.br/epi-scanner/</w:t>
        </w:r>
      </w:hyperlink>
      <w:r>
        <w:t xml:space="preserve">)</w:t>
      </w:r>
    </w:p>
    <w:bookmarkEnd w:id="147"/>
    <w:bookmarkStart w:id="148" w:name="autores"/>
    <w:p>
      <w:pPr>
        <w:pStyle w:val="Ttulo2"/>
      </w:pPr>
      <w:r>
        <w:rPr>
          <w:b/>
          <w:bCs/>
        </w:rPr>
        <w:t xml:space="preserve">AUTORES</w:t>
      </w:r>
    </w:p>
    <w:bookmarkEnd w:id="148"/>
    <w:p>
      <w:pPr>
        <w:pStyle w:val="Normal"/>
      </w:pPr>
      <w:r>
        <w:rPr>
          <w:b/>
          <w:bCs/>
        </w:rPr>
        <w:t xml:space="preserve">Equipe do Infodengue:</w:t>
      </w:r>
      <w:r>
        <w:t xml:space="preserve"> </w:t>
      </w:r>
      <w:r>
        <w:t xml:space="preserve">Claudia Torres Codeço</w:t>
      </w:r>
      <m:oMath>
        <m:sSup>
          <m:e>
            <m:r>
              <m:t>​</m:t>
            </m:r>
          </m:e>
          <m:sup>
            <m:r>
              <m:t>a</m:t>
            </m:r>
          </m:sup>
        </m:sSup>
      </m:oMath>
      <w:r>
        <w:t xml:space="preserve">, Leonardo Soares Bastos</w:t>
      </w:r>
      <m:oMath>
        <m:sSup>
          <m:e>
            <m:r>
              <m:t>​</m:t>
            </m:r>
          </m:e>
          <m:sup>
            <m:r>
              <m:t>a</m:t>
            </m:r>
          </m:sup>
        </m:sSup>
      </m:oMath>
      <w:r>
        <w:t xml:space="preserve">, Oswaldo Gonçalves Cruza</w:t>
      </w:r>
      <m:oMath>
        <m:sSup>
          <m:e>
            <m:r>
              <m:t>​</m:t>
            </m:r>
          </m:e>
          <m:sup>
            <m:r>
              <m:t>a</m:t>
            </m:r>
          </m:sup>
        </m:sSup>
      </m:oMath>
      <w:r>
        <w:t xml:space="preserve">, Sara de Souza Oliveira</w:t>
      </w:r>
      <m:oMath>
        <m:sSup>
          <m:e>
            <m:r>
              <m:t>​</m:t>
            </m:r>
          </m:e>
          <m:sup>
            <m:r>
              <m:t>a</m:t>
            </m:r>
          </m:sup>
        </m:sSup>
      </m:oMath>
      <w:r>
        <w:t xml:space="preserve">, Eduardo Correa Araujo</w:t>
      </w:r>
      <m:oMath>
        <m:sSup>
          <m:e>
            <m:r>
              <m:t>​</m:t>
            </m:r>
          </m:e>
          <m:sup>
            <m:r>
              <m:t>d</m:t>
            </m:r>
          </m:sup>
        </m:sSup>
      </m:oMath>
      <w:r>
        <w:t xml:space="preserve">, Raquel Martins Lana</w:t>
      </w:r>
      <m:oMath>
        <m:sSup>
          <m:e>
            <m:r>
              <m:t>​</m:t>
            </m:r>
          </m:e>
          <m:sup>
            <m:r>
              <m:t>b</m:t>
            </m:r>
          </m:sup>
        </m:sSup>
      </m:oMath>
      <w:r>
        <w:t xml:space="preserve">, Danielle Andreza da Cruz Ferreira</w:t>
      </w:r>
      <m:oMath>
        <m:sSup>
          <m:e>
            <m:r>
              <m:t>​</m:t>
            </m:r>
          </m:e>
          <m:sup>
            <m:r>
              <m:t>a</m:t>
            </m:r>
          </m:sup>
        </m:sSup>
      </m:oMath>
      <w:r>
        <w:t xml:space="preserve">, Vinicius Barbosa Godinho</w:t>
      </w:r>
      <m:oMath>
        <m:sSup>
          <m:e>
            <m:r>
              <m:t>​</m:t>
            </m:r>
          </m:e>
          <m:sup>
            <m:r>
              <m:t>a</m:t>
            </m:r>
          </m:sup>
        </m:sSup>
      </m:oMath>
      <w:r>
        <w:t xml:space="preserve">, Sandro Locha</w:t>
      </w:r>
      <m:oMath>
        <m:sSup>
          <m:e>
            <m:r>
              <m:t>​</m:t>
            </m:r>
          </m:e>
          <m:sup>
            <m:r>
              <m:t>a</m:t>
            </m:r>
          </m:sup>
        </m:sSup>
      </m:oMath>
      <w:r>
        <w:t xml:space="preserve">, Luã Bida Vacaro</w:t>
      </w:r>
      <m:oMath>
        <m:sSup>
          <m:e>
            <m:r>
              <m:t>​</m:t>
            </m:r>
          </m:e>
          <m:sup>
            <m:r>
              <m:t>d</m:t>
            </m:r>
          </m:sup>
        </m:sSup>
      </m:oMath>
      <w:r>
        <w:t xml:space="preserve">, Lucas Monteiro Bianchi</w:t>
      </w:r>
      <m:oMath>
        <m:sSup>
          <m:e>
            <m:r>
              <m:t>​</m:t>
            </m:r>
          </m:e>
          <m:sup>
            <m:r>
              <m:t>e</m:t>
            </m:r>
          </m:sup>
        </m:sSup>
      </m:oMath>
      <w:r>
        <w:t xml:space="preserve">, Thais Irene Souza Riback</w:t>
      </w:r>
      <m:oMath>
        <m:sSup>
          <m:e>
            <m:r>
              <m:t>​</m:t>
            </m:r>
          </m:e>
          <m:sup>
            <m:r>
              <m:t>a</m:t>
            </m:r>
          </m:sup>
        </m:sSup>
      </m:oMath>
      <w:r>
        <w:t xml:space="preserve">, Iasmim Ferreira de Almeida</w:t>
      </w:r>
      <m:oMath>
        <m:sSup>
          <m:e>
            <m:r>
              <m:t>​</m:t>
            </m:r>
          </m:e>
          <m:sup>
            <m:r>
              <m:t>a</m:t>
            </m:r>
          </m:sup>
        </m:sSup>
      </m:oMath>
      <w:r>
        <w:t xml:space="preserve">, Lais Picinini Freitas</w:t>
      </w:r>
      <m:oMath>
        <m:sSup>
          <m:e>
            <m:r>
              <m:t>​</m:t>
            </m:r>
          </m:e>
          <m:sup>
            <m:r>
              <m:t>a</m:t>
            </m:r>
          </m:sup>
        </m:sSup>
      </m:oMath>
      <w:r>
        <w:t xml:space="preserve">, and Flávio Codeço Coelho</w:t>
      </w:r>
      <m:oMath>
        <m:sSup>
          <m:e>
            <m:r>
              <m:t>​</m:t>
            </m:r>
          </m:e>
          <m:sup>
            <m:r>
              <m:t>d</m:t>
            </m:r>
          </m:sup>
        </m:sSup>
      </m:oMath>
      <w:r>
        <w:t xml:space="preserve">.</w:t>
      </w:r>
    </w:p>
    <w:p>
      <w:pPr>
        <w:pStyle w:val="Corpodetexto"/>
      </w:pPr>
      <m:oMath>
        <m:r>
          <m:t>a</m:t>
        </m:r>
      </m:oMath>
      <w:r>
        <w:t xml:space="preserve">: Scientific Computing Program, Oswaldo Cruz Foundation, Brazil</w:t>
      </w:r>
      <w:r>
        <w:br/>
      </w:r>
      <m:oMath>
        <m:r>
          <m:t>b</m:t>
        </m:r>
      </m:oMath>
      <w:r>
        <w:t xml:space="preserve">: Barcelona Supercomputing Center (BSC), Barcelona, Spain</w:t>
      </w:r>
      <w:r>
        <w:br/>
      </w:r>
      <m:oMath>
        <m:r>
          <m:t>c</m:t>
        </m:r>
      </m:oMath>
      <w:r>
        <w:t xml:space="preserve">: Federal University of Minas Gerais, Brazil</w:t>
      </w:r>
      <w:r>
        <w:br/>
      </w:r>
      <m:oMath>
        <m:r>
          <m:t>d</m:t>
        </m:r>
      </m:oMath>
      <w:r>
        <w:t xml:space="preserve">: School of Applied Math, Getulio Vargas Foundation, Brazil</w:t>
      </w:r>
      <w:r>
        <w:br/>
      </w:r>
      <m:oMath>
        <m:r>
          <m:t>e</m:t>
        </m:r>
      </m:oMath>
      <w:r>
        <w:t xml:space="preserve">: National School of Public Health, Oswaldo Cruz Foundation, Brazil</w:t>
      </w:r>
    </w:p>
    <w:bookmarkEnd w:id="149"/>
    <w:sectPr w:rsidR="00565490" w:rsidRPr="004524DC" w:rsidSect="00504D10">
      <w:headerReference r:id="rId9" w:type="default"/>
      <w:footerReference r:id="rId10" w:type="default"/>
      <w:pgSz w:h="15840" w:w="12240"/>
      <w:pgMar w:bottom="1440" w:footer="368"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6897654"/>
      <w:docPartObj>
        <w:docPartGallery w:val="Page Numbers (Bottom of Page)"/>
        <w:docPartUnique/>
      </w:docPartObj>
    </w:sdtPr>
    <w:sdtContent>
      <w:p w14:paraId="6765C0AA" w14:textId="77777777" w:rsidR="00504D10" w:rsidRDefault="00504D10">
        <w:pPr>
          <w:pStyle w:val="Rodap"/>
          <w:jc w:val="center"/>
        </w:pPr>
        <w:r>
          <w:fldChar w:fldCharType="begin"/>
        </w:r>
        <w:r>
          <w:instrText>PAGE   \* MERGEFORMAT</w:instrText>
        </w:r>
        <w:r>
          <w:fldChar w:fldCharType="separate"/>
        </w:r>
        <w:r>
          <w:rPr>
            <w:lang w:val="pt-BR"/>
          </w:rPr>
          <w:t>2</w:t>
        </w:r>
        <w:r>
          <w:fldChar w:fldCharType="end"/>
        </w:r>
      </w:p>
    </w:sdtContent>
  </w:sdt>
  <w:p w14:paraId="459D23DB" w14:textId="77777777" w:rsidR="00504D10" w:rsidRDefault="00504D10">
    <w:pPr>
      <w:pStyle w:val="Rodap"/>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D3FC" w14:textId="77777777" w:rsidR="00504D10" w:rsidRDefault="00504D10" w:rsidP="00504D10">
    <w:pPr>
      <w:pStyle w:val="Cabealho"/>
      <w:pBdr>
        <w:bottom w:val="single" w:sz="12" w:space="1" w:color="auto"/>
      </w:pBdr>
      <w:jc w:val="right"/>
      <w:rPr>
        <w:lang w:val="pt-BR"/>
      </w:rPr>
    </w:pPr>
    <w:r w:rsidRPr="00504D10">
      <w:rPr>
        <w:noProof/>
        <w:lang w:val="pt-BR"/>
      </w:rPr>
      <w:drawing>
        <wp:inline distT="0" distB="0" distL="0" distR="0" wp14:anchorId="08592198" wp14:editId="5E6A6CAE">
          <wp:extent cx="762000" cy="371675"/>
          <wp:effectExtent l="0" t="0" r="0" b="0"/>
          <wp:docPr id="1729029200" name="Imagem 2" descr="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4438" name="Imagem 2" descr="Logotipo&#10;&#10;O conteúdo gerado por IA pode estar incorre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845" cy="376965"/>
                  </a:xfrm>
                  <a:prstGeom prst="rect">
                    <a:avLst/>
                  </a:prstGeom>
                  <a:noFill/>
                  <a:ln>
                    <a:noFill/>
                  </a:ln>
                </pic:spPr>
              </pic:pic>
            </a:graphicData>
          </a:graphic>
        </wp:inline>
      </w:drawing>
    </w:r>
  </w:p>
  <w:p w14:paraId="628D4249" w14:textId="77777777" w:rsidR="00504D10" w:rsidRPr="00504D10" w:rsidRDefault="00504D10" w:rsidP="00504D10">
    <w:pPr>
      <w:pStyle w:val="Cabealho"/>
      <w:pBdr>
        <w:bottom w:val="single" w:sz="12" w:space="1" w:color="auto"/>
      </w:pBdr>
      <w:jc w:val="right"/>
      <w:rPr>
        <w:sz w:val="8"/>
        <w:szCs w:val="8"/>
        <w:lang w:val="pt-BR"/>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5803F0C"/>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A386CC1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306372D1"/>
    <w:multiLevelType w:val="hybridMultilevel"/>
    <w:tmpl w:val="38546716"/>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3">
    <w:nsid w:val="42A5669B"/>
    <w:multiLevelType w:val="hybridMultilevel"/>
    <w:tmpl w:val="1422DD9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4">
    <w:nsid w:val="46E33CF8"/>
    <w:multiLevelType w:val="hybridMultilevel"/>
    <w:tmpl w:val="5F8A94CA"/>
    <w:lvl w:ilvl="0" w:tplc="04160001">
      <w:start w:val="1"/>
      <w:numFmt w:val="bullet"/>
      <w:lvlText w:val=""/>
      <w:lvlJc w:val="left"/>
      <w:pPr>
        <w:ind w:hanging="360" w:left="720"/>
      </w:pPr>
      <w:rPr>
        <w:rFonts w:ascii="Symbol"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15:restartNumberingAfterBreak="0" w:abstractNumId="5">
    <w:nsid w:val="51654693"/>
    <w:multiLevelType w:val="hybridMultilevel"/>
    <w:tmpl w:val="53C03FCE"/>
    <w:lvl w:ilvl="0" w:tplc="32A2EE9A">
      <w:numFmt w:val="bullet"/>
      <w:lvlText w:val=""/>
      <w:lvlJc w:val="left"/>
      <w:pPr>
        <w:ind w:hanging="360" w:left="720"/>
      </w:pPr>
      <w:rPr>
        <w:rFonts w:ascii="Symbol" w:cstheme="minorBidi" w:eastAsiaTheme="minorHAnsi" w:hAnsi="Symbol" w:hint="default"/>
      </w:rPr>
    </w:lvl>
    <w:lvl w:ilvl="1" w:tentative="1" w:tplc="04160003">
      <w:start w:val="1"/>
      <w:numFmt w:val="bullet"/>
      <w:lvlText w:val="o"/>
      <w:lvlJc w:val="left"/>
      <w:pPr>
        <w:ind w:hanging="360" w:left="1440"/>
      </w:pPr>
      <w:rPr>
        <w:rFonts w:ascii="Courier New" w:cs="Courier New" w:hAnsi="Courier New" w:hint="default"/>
      </w:rPr>
    </w:lvl>
    <w:lvl w:ilvl="2" w:tentative="1" w:tplc="04160005">
      <w:start w:val="1"/>
      <w:numFmt w:val="bullet"/>
      <w:lvlText w:val=""/>
      <w:lvlJc w:val="left"/>
      <w:pPr>
        <w:ind w:hanging="360" w:left="2160"/>
      </w:pPr>
      <w:rPr>
        <w:rFonts w:ascii="Wingdings" w:hAnsi="Wingdings" w:hint="default"/>
      </w:rPr>
    </w:lvl>
    <w:lvl w:ilvl="3" w:tentative="1" w:tplc="04160001">
      <w:start w:val="1"/>
      <w:numFmt w:val="bullet"/>
      <w:lvlText w:val=""/>
      <w:lvlJc w:val="left"/>
      <w:pPr>
        <w:ind w:hanging="360" w:left="2880"/>
      </w:pPr>
      <w:rPr>
        <w:rFonts w:ascii="Symbol" w:hAnsi="Symbol" w:hint="default"/>
      </w:rPr>
    </w:lvl>
    <w:lvl w:ilvl="4" w:tentative="1" w:tplc="04160003">
      <w:start w:val="1"/>
      <w:numFmt w:val="bullet"/>
      <w:lvlText w:val="o"/>
      <w:lvlJc w:val="left"/>
      <w:pPr>
        <w:ind w:hanging="360" w:left="3600"/>
      </w:pPr>
      <w:rPr>
        <w:rFonts w:ascii="Courier New" w:cs="Courier New" w:hAnsi="Courier New" w:hint="default"/>
      </w:rPr>
    </w:lvl>
    <w:lvl w:ilvl="5" w:tentative="1" w:tplc="04160005">
      <w:start w:val="1"/>
      <w:numFmt w:val="bullet"/>
      <w:lvlText w:val=""/>
      <w:lvlJc w:val="left"/>
      <w:pPr>
        <w:ind w:hanging="360" w:left="4320"/>
      </w:pPr>
      <w:rPr>
        <w:rFonts w:ascii="Wingdings" w:hAnsi="Wingdings" w:hint="default"/>
      </w:rPr>
    </w:lvl>
    <w:lvl w:ilvl="6" w:tentative="1" w:tplc="04160001">
      <w:start w:val="1"/>
      <w:numFmt w:val="bullet"/>
      <w:lvlText w:val=""/>
      <w:lvlJc w:val="left"/>
      <w:pPr>
        <w:ind w:hanging="360" w:left="5040"/>
      </w:pPr>
      <w:rPr>
        <w:rFonts w:ascii="Symbol" w:hAnsi="Symbol" w:hint="default"/>
      </w:rPr>
    </w:lvl>
    <w:lvl w:ilvl="7" w:tentative="1" w:tplc="04160003">
      <w:start w:val="1"/>
      <w:numFmt w:val="bullet"/>
      <w:lvlText w:val="o"/>
      <w:lvlJc w:val="left"/>
      <w:pPr>
        <w:ind w:hanging="360" w:left="5760"/>
      </w:pPr>
      <w:rPr>
        <w:rFonts w:ascii="Courier New" w:cs="Courier New" w:hAnsi="Courier New" w:hint="default"/>
      </w:rPr>
    </w:lvl>
    <w:lvl w:ilvl="8" w:tentative="1" w:tplc="0416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803078604" w:numId="1">
    <w:abstractNumId w:val="0"/>
  </w:num>
  <w:num w16cid:durableId="1310475573" w:numId="2">
    <w:abstractNumId w:val="1"/>
  </w:num>
  <w:num w16cid:durableId="1557619639" w:numId="3">
    <w:abstractNumId w:val="0"/>
  </w:num>
  <w:num w16cid:durableId="290405541" w:numId="4">
    <w:abstractNumId w:val="1"/>
  </w:num>
  <w:num w16cid:durableId="1665740203" w:numId="5">
    <w:abstractNumId w:val="3"/>
  </w:num>
  <w:num w16cid:durableId="1006789259" w:numId="6">
    <w:abstractNumId w:val="4"/>
  </w:num>
  <w:num w16cid:durableId="7147524" w:numId="7">
    <w:abstractNumId w:val="2"/>
  </w:num>
  <w:num w16cid:durableId="422532894" w:numId="8">
    <w:abstractNumId w:val="5"/>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8A6A84"/>
    <w:rsid w:val="00010760"/>
    <w:rsid w:val="004524DC"/>
    <w:rsid w:val="00482A78"/>
    <w:rsid w:val="00504D10"/>
    <w:rsid w:val="00565490"/>
    <w:rsid w:val="00571936"/>
    <w:rsid w:val="0059071E"/>
    <w:rsid w:val="006336DB"/>
    <w:rsid w:val="00686C0F"/>
    <w:rsid w:val="007D20EE"/>
    <w:rsid w:val="007E58DD"/>
    <w:rsid w:val="008A6A84"/>
    <w:rsid w:val="00982DF7"/>
    <w:rsid w:val="009C6A8E"/>
    <w:rsid w:val="00AF46C0"/>
    <w:rsid w:val="00CF2D78"/>
    <w:rsid w:val="00D20814"/>
    <w:rsid w:val="00D32B7A"/>
    <w:rsid w:val="00DD04C9"/>
    <w:rsid w:val="00E16B4B"/>
    <w:rsid w:val="00EB3DC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PargrafodaLista"/>
    <w:qFormat/>
    <w:rsid w:val="004524DC"/>
    <w:pPr>
      <w:jc w:val="both"/>
    </w:pPr>
    <w:rPr>
      <w:rFonts w:ascii="Arial" w:hAnsi="Arial"/>
    </w:rPr>
  </w:style>
  <w:style w:styleId="Ttulo1" w:type="paragraph">
    <w:name w:val="heading 1"/>
    <w:basedOn w:val="Normal"/>
    <w:next w:val="Corpodetexto"/>
    <w:link w:val="Ttulo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Ttulo2" w:type="paragraph">
    <w:name w:val="heading 2"/>
    <w:basedOn w:val="Normal"/>
    <w:next w:val="Corpodetexto"/>
    <w:link w:val="Ttulo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Ttulo3" w:type="paragraph">
    <w:name w:val="heading 3"/>
    <w:basedOn w:val="Normal"/>
    <w:next w:val="Corpodetexto"/>
    <w:link w:val="Ttulo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Ttulo4" w:type="paragraph">
    <w:name w:val="heading 4"/>
    <w:basedOn w:val="Normal"/>
    <w:next w:val="Corpodetexto"/>
    <w:link w:val="Ttulo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Ttulo5" w:type="paragraph">
    <w:name w:val="heading 5"/>
    <w:basedOn w:val="Normal"/>
    <w:next w:val="Corpodetexto"/>
    <w:link w:val="Ttulo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Ttulo6" w:type="paragraph">
    <w:name w:val="heading 6"/>
    <w:basedOn w:val="Normal"/>
    <w:next w:val="Corpodetexto"/>
    <w:link w:val="Ttulo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Ttulo7" w:type="paragraph">
    <w:name w:val="heading 7"/>
    <w:basedOn w:val="Normal"/>
    <w:next w:val="Corpodetexto"/>
    <w:link w:val="Ttulo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Ttulo8" w:type="paragraph">
    <w:name w:val="heading 8"/>
    <w:basedOn w:val="Normal"/>
    <w:next w:val="Corpodetexto"/>
    <w:link w:val="Ttulo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Ttulo9" w:type="paragraph">
    <w:name w:val="heading 9"/>
    <w:basedOn w:val="Normal"/>
    <w:next w:val="Corpodetexto"/>
    <w:link w:val="Ttulo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Fontepargpadro" w:type="character">
    <w:name w:val="Default Paragraph Font"/>
    <w:uiPriority w:val="1"/>
    <w:semiHidden/>
    <w:unhideWhenUsed/>
  </w:style>
  <w:style w:default="1" w:styleId="Tabelanormal" w:type="table">
    <w:name w:val="Normal Table"/>
    <w:uiPriority w:val="99"/>
    <w:semiHidden/>
    <w:unhideWhenUsed/>
    <w:tblPr>
      <w:tblInd w:type="dxa" w:w="0"/>
      <w:tblCellMar>
        <w:top w:type="dxa" w:w="0"/>
        <w:left w:type="dxa" w:w="108"/>
        <w:bottom w:type="dxa" w:w="0"/>
        <w:right w:type="dxa" w:w="108"/>
      </w:tblCellMar>
    </w:tblPr>
  </w:style>
  <w:style w:default="1" w:styleId="Semlista" w:type="numbering">
    <w:name w:val="No List"/>
    <w:uiPriority w:val="99"/>
    <w:semiHidden/>
    <w:unhideWhenUsed/>
  </w:style>
  <w:style w:styleId="Corpodetexto" w:type="paragraph">
    <w:name w:val="Body Text"/>
    <w:basedOn w:val="Normal"/>
    <w:qFormat/>
    <w:rsid w:val="004524DC"/>
    <w:pPr>
      <w:spacing w:after="180" w:before="180"/>
      <w:jc w:val="left"/>
    </w:pPr>
  </w:style>
  <w:style w:customStyle="1" w:styleId="FirstParagraph" w:type="paragraph">
    <w:name w:val="First Paragraph"/>
    <w:basedOn w:val="Corpodetexto"/>
    <w:next w:val="Corpodetexto"/>
    <w:qFormat/>
  </w:style>
  <w:style w:customStyle="1" w:styleId="Compact" w:type="paragraph">
    <w:name w:val="Compact"/>
    <w:basedOn w:val="Corpodetexto"/>
    <w:qFormat/>
    <w:pPr>
      <w:spacing w:after="36" w:before="36"/>
    </w:pPr>
  </w:style>
  <w:style w:styleId="Ttulo" w:type="paragraph">
    <w:name w:val="Title"/>
    <w:basedOn w:val="Normal"/>
    <w:next w:val="Corpodetexto"/>
    <w:link w:val="Ttulo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tuloChar" w:type="character">
    <w:name w:val="Título Char"/>
    <w:basedOn w:val="Fontepargpadro"/>
    <w:link w:val="Ttulo"/>
    <w:uiPriority w:val="10"/>
    <w:rsid w:val="00A10FD9"/>
    <w:rPr>
      <w:rFonts w:asciiTheme="majorHAnsi" w:cstheme="majorBidi" w:eastAsiaTheme="majorEastAsia" w:hAnsiTheme="majorHAnsi"/>
      <w:spacing w:val="-10"/>
      <w:kern w:val="28"/>
      <w:sz w:val="56"/>
      <w:szCs w:val="56"/>
    </w:rPr>
  </w:style>
  <w:style w:styleId="Subttulo" w:type="paragraph">
    <w:name w:val="Subtitle"/>
    <w:basedOn w:val="Normal"/>
    <w:next w:val="Corpodetexto"/>
    <w:link w:val="Subttulo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tuloChar" w:type="character">
    <w:name w:val="Subtítulo Char"/>
    <w:basedOn w:val="Fontepargpadro"/>
    <w:link w:val="Subttulo"/>
    <w:uiPriority w:val="11"/>
    <w:rsid w:val="00A10FD9"/>
    <w:rPr>
      <w:rFonts w:cstheme="majorBidi" w:eastAsiaTheme="majorEastAsia"/>
      <w:color w:themeColor="text1" w:themeTint="A6" w:val="595959"/>
      <w:spacing w:val="15"/>
      <w:sz w:val="28"/>
      <w:szCs w:val="28"/>
    </w:rPr>
  </w:style>
  <w:style w:customStyle="1" w:styleId="Author" w:type="paragraph">
    <w:name w:val="Author"/>
    <w:next w:val="Corpodetexto"/>
    <w:qFormat/>
    <w:pPr>
      <w:keepNext/>
      <w:keepLines/>
      <w:jc w:val="center"/>
    </w:pPr>
  </w:style>
  <w:style w:styleId="Data" w:type="paragraph">
    <w:name w:val="Date"/>
    <w:next w:val="Corpodetexto"/>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Corpodetexto"/>
    <w:qFormat/>
    <w:pPr>
      <w:keepNext/>
      <w:keepLines/>
      <w:spacing w:after="300" w:before="100"/>
    </w:pPr>
    <w:rPr>
      <w:sz w:val="20"/>
      <w:szCs w:val="20"/>
    </w:rPr>
  </w:style>
  <w:style w:styleId="Bibliografia" w:type="paragraph">
    <w:name w:val="Bibliography"/>
    <w:basedOn w:val="Normal"/>
    <w:qFormat/>
  </w:style>
  <w:style w:customStyle="1" w:styleId="Ttulo1Char" w:type="character">
    <w:name w:val="Título 1 Char"/>
    <w:basedOn w:val="Fontepargpadro"/>
    <w:link w:val="Ttulo1"/>
    <w:uiPriority w:val="9"/>
    <w:rsid w:val="00A10FD9"/>
    <w:rPr>
      <w:rFonts w:asciiTheme="majorHAnsi" w:cstheme="majorBidi" w:eastAsiaTheme="majorEastAsia" w:hAnsiTheme="majorHAnsi"/>
      <w:color w:themeColor="accent1" w:themeShade="BF" w:val="0F4761"/>
      <w:sz w:val="40"/>
      <w:szCs w:val="40"/>
    </w:rPr>
  </w:style>
  <w:style w:customStyle="1" w:styleId="Ttulo2Char" w:type="character">
    <w:name w:val="Título 2 Char"/>
    <w:basedOn w:val="Fontepargpadro"/>
    <w:link w:val="Ttulo2"/>
    <w:uiPriority w:val="9"/>
    <w:semiHidden/>
    <w:rsid w:val="00A10FD9"/>
    <w:rPr>
      <w:rFonts w:asciiTheme="majorHAnsi" w:cstheme="majorBidi" w:eastAsiaTheme="majorEastAsia" w:hAnsiTheme="majorHAnsi"/>
      <w:color w:themeColor="accent1" w:themeShade="BF" w:val="0F4761"/>
      <w:sz w:val="32"/>
      <w:szCs w:val="32"/>
    </w:rPr>
  </w:style>
  <w:style w:customStyle="1" w:styleId="Ttulo3Char" w:type="character">
    <w:name w:val="Título 3 Char"/>
    <w:basedOn w:val="Fontepargpadro"/>
    <w:link w:val="Ttulo3"/>
    <w:uiPriority w:val="9"/>
    <w:semiHidden/>
    <w:rsid w:val="00A10FD9"/>
    <w:rPr>
      <w:rFonts w:cstheme="majorBidi" w:eastAsiaTheme="majorEastAsia"/>
      <w:color w:themeColor="accent1" w:themeShade="BF" w:val="0F4761"/>
      <w:sz w:val="28"/>
      <w:szCs w:val="28"/>
    </w:rPr>
  </w:style>
  <w:style w:customStyle="1" w:styleId="Ttulo4Char" w:type="character">
    <w:name w:val="Título 4 Char"/>
    <w:basedOn w:val="Fontepargpadro"/>
    <w:link w:val="Ttulo4"/>
    <w:uiPriority w:val="9"/>
    <w:semiHidden/>
    <w:rsid w:val="00A10FD9"/>
    <w:rPr>
      <w:rFonts w:cstheme="majorBidi" w:eastAsiaTheme="majorEastAsia"/>
      <w:i/>
      <w:iCs/>
      <w:color w:themeColor="accent1" w:themeShade="BF" w:val="0F4761"/>
    </w:rPr>
  </w:style>
  <w:style w:customStyle="1" w:styleId="Ttulo5Char" w:type="character">
    <w:name w:val="Título 5 Char"/>
    <w:basedOn w:val="Fontepargpadro"/>
    <w:link w:val="Ttulo5"/>
    <w:uiPriority w:val="9"/>
    <w:semiHidden/>
    <w:rsid w:val="00A10FD9"/>
    <w:rPr>
      <w:rFonts w:cstheme="majorBidi" w:eastAsiaTheme="majorEastAsia"/>
      <w:color w:themeColor="accent1" w:themeShade="BF" w:val="0F4761"/>
    </w:rPr>
  </w:style>
  <w:style w:customStyle="1" w:styleId="Ttulo6Char" w:type="character">
    <w:name w:val="Título 6 Char"/>
    <w:basedOn w:val="Fontepargpadro"/>
    <w:link w:val="Ttulo6"/>
    <w:uiPriority w:val="9"/>
    <w:semiHidden/>
    <w:rsid w:val="00A10FD9"/>
    <w:rPr>
      <w:rFonts w:cstheme="majorBidi" w:eastAsiaTheme="majorEastAsia"/>
      <w:i/>
      <w:iCs/>
      <w:color w:themeColor="text1" w:themeTint="A6" w:val="595959"/>
    </w:rPr>
  </w:style>
  <w:style w:customStyle="1" w:styleId="Ttulo7Char" w:type="character">
    <w:name w:val="Título 7 Char"/>
    <w:basedOn w:val="Fontepargpadro"/>
    <w:link w:val="Ttulo7"/>
    <w:uiPriority w:val="9"/>
    <w:semiHidden/>
    <w:rsid w:val="00A10FD9"/>
    <w:rPr>
      <w:rFonts w:cstheme="majorBidi" w:eastAsiaTheme="majorEastAsia"/>
      <w:color w:themeColor="text1" w:themeTint="A6" w:val="595959"/>
    </w:rPr>
  </w:style>
  <w:style w:customStyle="1" w:styleId="Ttulo8Char" w:type="character">
    <w:name w:val="Título 8 Char"/>
    <w:basedOn w:val="Fontepargpadro"/>
    <w:link w:val="Ttulo8"/>
    <w:uiPriority w:val="9"/>
    <w:semiHidden/>
    <w:rsid w:val="00A10FD9"/>
    <w:rPr>
      <w:rFonts w:cstheme="majorBidi" w:eastAsiaTheme="majorEastAsia"/>
      <w:i/>
      <w:iCs/>
      <w:color w:themeColor="text1" w:themeTint="D8" w:val="272727"/>
    </w:rPr>
  </w:style>
  <w:style w:customStyle="1" w:styleId="Ttulo9Char" w:type="character">
    <w:name w:val="Título 9 Char"/>
    <w:basedOn w:val="Fontepargpadro"/>
    <w:link w:val="Ttulo9"/>
    <w:uiPriority w:val="9"/>
    <w:semiHidden/>
    <w:rsid w:val="00A10FD9"/>
    <w:rPr>
      <w:rFonts w:cstheme="majorBidi" w:eastAsiaTheme="majorEastAsia"/>
      <w:color w:themeColor="text1" w:themeTint="D8" w:val="272727"/>
    </w:rPr>
  </w:style>
  <w:style w:styleId="Textoembloco" w:type="paragraph">
    <w:name w:val="Block Text"/>
    <w:basedOn w:val="Corpodetexto"/>
    <w:next w:val="Corpodetexto"/>
    <w:uiPriority w:val="9"/>
    <w:unhideWhenUsed/>
    <w:qFormat/>
    <w:pPr>
      <w:spacing w:after="100" w:before="100"/>
      <w:ind w:left="480" w:right="480"/>
    </w:pPr>
  </w:style>
  <w:style w:styleId="Textodenotaderodap" w:type="paragraph">
    <w:name w:val="footnote text"/>
    <w:basedOn w:val="Normal"/>
    <w:uiPriority w:val="9"/>
    <w:unhideWhenUsed/>
    <w:qFormat/>
  </w:style>
  <w:style w:customStyle="1" w:styleId="FootnoteBlockText" w:type="paragraph">
    <w:name w:val="Footnote Block Text"/>
    <w:basedOn w:val="Textodenotaderodap"/>
    <w:next w:val="Textodenotaderodap"/>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egenda" w:type="paragraph">
    <w:name w:val="caption"/>
    <w:basedOn w:val="Normal"/>
    <w:link w:val="LegendaChar"/>
    <w:pPr>
      <w:spacing w:after="120"/>
    </w:pPr>
    <w:rPr>
      <w:i/>
    </w:rPr>
  </w:style>
  <w:style w:customStyle="1" w:styleId="TableCaption" w:type="paragraph">
    <w:name w:val="Table Caption"/>
    <w:basedOn w:val="Legenda"/>
    <w:pPr>
      <w:keepNext/>
    </w:pPr>
  </w:style>
  <w:style w:customStyle="1" w:styleId="ImageCaption" w:type="paragraph">
    <w:name w:val="Image Caption"/>
    <w:basedOn w:val="Legenda"/>
  </w:style>
  <w:style w:customStyle="1" w:styleId="Figure" w:type="paragraph">
    <w:name w:val="Figure"/>
    <w:basedOn w:val="Normal"/>
  </w:style>
  <w:style w:customStyle="1" w:styleId="CaptionedFigure" w:type="paragraph">
    <w:name w:val="Captioned Figure"/>
    <w:basedOn w:val="Figure"/>
    <w:pPr>
      <w:keepNext/>
    </w:pPr>
  </w:style>
  <w:style w:customStyle="1" w:styleId="LegendaChar" w:type="character">
    <w:name w:val="Legenda Char"/>
    <w:basedOn w:val="Fontepargpadro"/>
    <w:link w:val="Legenda"/>
  </w:style>
  <w:style w:customStyle="1" w:styleId="VerbatimChar" w:type="character">
    <w:name w:val="Verbatim Char"/>
    <w:basedOn w:val="LegendaChar"/>
    <w:link w:val="SourceCode"/>
    <w:rPr>
      <w:rFonts w:ascii="Consolas" w:hAnsi="Consolas"/>
      <w:sz w:val="22"/>
    </w:rPr>
  </w:style>
  <w:style w:customStyle="1" w:styleId="SectionNumber" w:type="character">
    <w:name w:val="Section Number"/>
    <w:basedOn w:val="LegendaChar"/>
  </w:style>
  <w:style w:styleId="Refdenotaderodap" w:type="character">
    <w:name w:val="footnote reference"/>
    <w:basedOn w:val="LegendaChar"/>
    <w:rPr>
      <w:vertAlign w:val="superscript"/>
    </w:rPr>
  </w:style>
  <w:style w:styleId="Hyperlink" w:type="character">
    <w:name w:val="Hyperlink"/>
    <w:basedOn w:val="LegendaChar"/>
    <w:rPr>
      <w:color w:themeColor="accent1" w:val="156082"/>
    </w:rPr>
  </w:style>
  <w:style w:styleId="CabealhodoSumrio" w:type="paragraph">
    <w:name w:val="TOC Heading"/>
    <w:basedOn w:val="Ttulo1"/>
    <w:next w:val="Corpodetexto"/>
    <w:uiPriority w:val="39"/>
    <w:unhideWhenUsed/>
    <w:qFormat/>
    <w:p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Cabealho" w:type="paragraph">
    <w:name w:val="header"/>
    <w:basedOn w:val="Normal"/>
    <w:link w:val="CabealhoChar"/>
    <w:rsid w:val="00504D10"/>
    <w:pPr>
      <w:tabs>
        <w:tab w:pos="4513" w:val="center"/>
        <w:tab w:pos="9026" w:val="right"/>
      </w:tabs>
      <w:spacing w:after="0"/>
    </w:pPr>
  </w:style>
  <w:style w:customStyle="1" w:styleId="CabealhoChar" w:type="character">
    <w:name w:val="Cabeçalho Char"/>
    <w:basedOn w:val="Fontepargpadro"/>
    <w:link w:val="Cabealho"/>
    <w:rsid w:val="00504D10"/>
  </w:style>
  <w:style w:styleId="Rodap" w:type="paragraph">
    <w:name w:val="footer"/>
    <w:basedOn w:val="Normal"/>
    <w:link w:val="RodapChar"/>
    <w:uiPriority w:val="99"/>
    <w:rsid w:val="00504D10"/>
    <w:pPr>
      <w:tabs>
        <w:tab w:pos="4513" w:val="center"/>
        <w:tab w:pos="9026" w:val="right"/>
      </w:tabs>
      <w:spacing w:after="0"/>
    </w:pPr>
  </w:style>
  <w:style w:customStyle="1" w:styleId="RodapChar" w:type="character">
    <w:name w:val="Rodapé Char"/>
    <w:basedOn w:val="Fontepargpadro"/>
    <w:link w:val="Rodap"/>
    <w:uiPriority w:val="99"/>
    <w:rsid w:val="00504D10"/>
  </w:style>
  <w:style w:styleId="PargrafodaLista" w:type="paragraph">
    <w:name w:val="List Paragraph"/>
    <w:basedOn w:val="Normal"/>
    <w:rsid w:val="0059071E"/>
    <w:pPr>
      <w:ind w:left="720"/>
      <w:contextualSpacing/>
    </w:pPr>
  </w:style>
  <w:style w:customStyle="1" w:styleId="Centralizadoenegrito" w:type="paragraph">
    <w:name w:val="Centralizado e negrito"/>
    <w:basedOn w:val="Normal"/>
    <w:link w:val="CentralizadoenegritoChar"/>
    <w:qFormat/>
    <w:rsid w:val="00EB3DC7"/>
    <w:pPr>
      <w:jc w:val="center"/>
    </w:pPr>
    <w:rPr>
      <w:b/>
      <w:bCs/>
      <w:lang w:val="pt-BR"/>
    </w:rPr>
  </w:style>
  <w:style w:customStyle="1" w:styleId="CentralizadoenegritoChar" w:type="character">
    <w:name w:val="Centralizado e negrito Char"/>
    <w:basedOn w:val="Fontepargpadro"/>
    <w:link w:val="Centralizadoenegrito"/>
    <w:rsid w:val="00EB3DC7"/>
    <w:rPr>
      <w:rFonts w:ascii="Arial" w:hAnsi="Arial"/>
      <w:b/>
      <w:bCs/>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169208">
      <w:bodyDiv w:val="1"/>
      <w:marLeft w:val="0"/>
      <w:marRight w:val="0"/>
      <w:marTop w:val="0"/>
      <w:marBottom w:val="0"/>
      <w:divBdr>
        <w:top w:val="none" w:sz="0" w:space="0" w:color="auto"/>
        <w:left w:val="none" w:sz="0" w:space="0" w:color="auto"/>
        <w:bottom w:val="none" w:sz="0" w:space="0" w:color="auto"/>
        <w:right w:val="none" w:sz="0" w:space="0" w:color="auto"/>
      </w:divBdr>
    </w:div>
    <w:div w:id="112801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7" Target="media/rId67.png" /><Relationship Type="http://schemas.openxmlformats.org/officeDocument/2006/relationships/image" Id="rId104" Target="media/rId10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86" Target="media/rId86.pn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76" Target="media/rId7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0" Target="media/rId120.png" /><Relationship Type="http://schemas.openxmlformats.org/officeDocument/2006/relationships/image" Id="rId82" Target="media/rId8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footnotes.xml.rels><?xml version="1.0" encoding="UTF-8"?><Relationships xmlns="http://schemas.openxmlformats.org/package/2006/relationships"><Relationship Type="http://schemas.openxmlformats.org/officeDocument/2006/relationships/hyperlink" Id="rId146" Target="https://info.dengue.mat.br/epi-scanner/" TargetMode="External" /><Relationship Type="http://schemas.openxmlformats.org/officeDocument/2006/relationships/hyperlink" Id="rId52" Target="https://zenodo.org/records/13929005"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35</Pages>
  <Words>4015</Words>
  <Characters>21681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2025-06-06T16:17:34Z</dcterms:created>
  <dcterms:modified xsi:type="dcterms:W3CDTF">2025-06-06T16:17:34Z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size">
    <vt:lpwstr>12pt</vt:lpwstr>
  </property>
  <property fmtid="{D5CDD505-2E9C-101B-9397-08002B2CF9AE}" pid="3" name="output">
    <vt:lpwstr/>
  </property>
  <property fmtid="{D5CDD505-2E9C-101B-9397-08002B2CF9AE}" pid="4" name="website">
    <vt:lpwstr>https://info.dengue.mat.br/</vt:lpwstr>
  </property>
</Properties>
</file>